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AE7AE2" w:rsidTr="008C702D">
        <w:trPr>
          <w:cantSplit/>
          <w:trHeight w:val="460"/>
        </w:trPr>
        <w:tc>
          <w:tcPr>
            <w:tcW w:w="8789" w:type="dxa"/>
            <w:gridSpan w:val="5"/>
            <w:tcBorders>
              <w:top w:val="single" w:sz="4" w:space="0" w:color="auto"/>
              <w:bottom w:val="single" w:sz="4" w:space="0" w:color="auto"/>
            </w:tcBorders>
            <w:vAlign w:val="center"/>
          </w:tcPr>
          <w:p w:rsidR="00AE7AE2" w:rsidRDefault="00AE7AE2" w:rsidP="008C702D">
            <w:pPr>
              <w:pStyle w:val="2"/>
            </w:pPr>
            <w:bookmarkStart w:id="0" w:name="_Toc470104224"/>
            <w:bookmarkStart w:id="1" w:name="_GoBack"/>
            <w:bookmarkEnd w:id="1"/>
            <w:r>
              <w:rPr>
                <w:rFonts w:ascii="Times New Roman" w:hAnsi="Times New Roman"/>
              </w:rPr>
              <w:t>法商管理专业攻读硕士学位研究生培养方案</w:t>
            </w:r>
            <w:r>
              <w:rPr>
                <w:rFonts w:ascii="Times New Roman" w:hAnsi="Times New Roman"/>
              </w:rPr>
              <w:br/>
            </w:r>
            <w:r>
              <w:rPr>
                <w:rStyle w:val="40"/>
                <w:rFonts w:ascii="Times New Roman" w:hAnsi="Times New Roman"/>
                <w:color w:val="000000" w:themeColor="text1"/>
              </w:rPr>
              <w:t>（专业代码：</w:t>
            </w:r>
            <w:r>
              <w:rPr>
                <w:rStyle w:val="40"/>
                <w:rFonts w:ascii="Times New Roman" w:hAnsi="Times New Roman"/>
                <w:color w:val="000000" w:themeColor="text1"/>
              </w:rPr>
              <w:t>1201Z1</w:t>
            </w:r>
            <w:r>
              <w:rPr>
                <w:rStyle w:val="40"/>
                <w:rFonts w:ascii="Times New Roman" w:hAnsi="Times New Roman"/>
                <w:color w:val="000000" w:themeColor="text1"/>
              </w:rPr>
              <w:t>）</w:t>
            </w:r>
            <w:bookmarkEnd w:id="0"/>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rPr>
                <w:rFonts w:ascii="Times New Roman" w:hAnsi="Times New Roman"/>
                <w:color w:val="000000" w:themeColor="text1"/>
              </w:rPr>
            </w:pPr>
            <w:r>
              <w:rPr>
                <w:rFonts w:ascii="Times New Roman" w:eastAsia="黑体" w:hAnsi="Times New Roman"/>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hAnsi="Times New Roman"/>
                <w:color w:val="000000" w:themeColor="text1"/>
              </w:rPr>
            </w:pPr>
            <w:r>
              <w:rPr>
                <w:rFonts w:ascii="Times New Roman" w:eastAsia="仿宋" w:hAnsi="Times New Roman"/>
                <w:color w:val="000000" w:themeColor="text1"/>
              </w:rPr>
              <w:t>随着经济全球化的发展，企业面临的竞争环境更加复杂化和多样化，企业要想在竞争中立于不败之地，只有提升自身的管理能力和国际化经营能力。法</w:t>
            </w:r>
            <w:proofErr w:type="gramStart"/>
            <w:r>
              <w:rPr>
                <w:rFonts w:ascii="Times New Roman" w:eastAsia="仿宋" w:hAnsi="Times New Roman"/>
                <w:color w:val="000000" w:themeColor="text1"/>
              </w:rPr>
              <w:t>商管理</w:t>
            </w:r>
            <w:proofErr w:type="gramEnd"/>
            <w:r>
              <w:rPr>
                <w:rFonts w:ascii="Times New Roman" w:eastAsia="仿宋" w:hAnsi="Times New Roman"/>
                <w:color w:val="000000" w:themeColor="text1"/>
              </w:rPr>
              <w:t>是工商管理学科下我校自主设立的二级学科，旨在培养高层次、应用型的企业管理人才。中国政法大学法</w:t>
            </w:r>
            <w:proofErr w:type="gramStart"/>
            <w:r>
              <w:rPr>
                <w:rFonts w:ascii="Times New Roman" w:eastAsia="仿宋" w:hAnsi="Times New Roman"/>
                <w:color w:val="000000" w:themeColor="text1"/>
              </w:rPr>
              <w:t>商管理</w:t>
            </w:r>
            <w:proofErr w:type="gramEnd"/>
            <w:r>
              <w:rPr>
                <w:rFonts w:ascii="Times New Roman" w:eastAsia="仿宋" w:hAnsi="Times New Roman"/>
                <w:color w:val="000000" w:themeColor="text1"/>
              </w:rPr>
              <w:t>专业的发展始于</w:t>
            </w:r>
            <w:r>
              <w:rPr>
                <w:rFonts w:ascii="Times New Roman" w:eastAsia="仿宋" w:hAnsi="Times New Roman"/>
                <w:color w:val="000000" w:themeColor="text1"/>
              </w:rPr>
              <w:t>1995</w:t>
            </w:r>
            <w:r>
              <w:rPr>
                <w:rFonts w:ascii="Times New Roman" w:eastAsia="仿宋" w:hAnsi="Times New Roman"/>
                <w:color w:val="000000" w:themeColor="text1"/>
              </w:rPr>
              <w:t>年开始招生的工商管理本科专业，经过近</w:t>
            </w:r>
            <w:r>
              <w:rPr>
                <w:rFonts w:ascii="Times New Roman" w:eastAsia="仿宋" w:hAnsi="Times New Roman"/>
                <w:color w:val="000000" w:themeColor="text1"/>
              </w:rPr>
              <w:t>20</w:t>
            </w:r>
            <w:r>
              <w:rPr>
                <w:rFonts w:ascii="Times New Roman" w:eastAsia="仿宋" w:hAnsi="Times New Roman"/>
                <w:color w:val="000000" w:themeColor="text1"/>
              </w:rPr>
              <w:t>年的发展，在企业管理专业基本研究框架的基础上，依托学校的法学优势，逐步形成法学与管理学结合的学科特色，成为法</w:t>
            </w:r>
            <w:proofErr w:type="gramStart"/>
            <w:r>
              <w:rPr>
                <w:rFonts w:ascii="Times New Roman" w:eastAsia="仿宋" w:hAnsi="Times New Roman"/>
                <w:color w:val="000000" w:themeColor="text1"/>
              </w:rPr>
              <w:t>商管理</w:t>
            </w:r>
            <w:proofErr w:type="gramEnd"/>
            <w:r>
              <w:rPr>
                <w:rFonts w:ascii="Times New Roman" w:eastAsia="仿宋" w:hAnsi="Times New Roman"/>
                <w:color w:val="000000" w:themeColor="text1"/>
              </w:rPr>
              <w:t>研究的开创者和复合型人才培养基地。</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适应社会主义市场经济、民主政治、法治国家建设对法商复合型管理人才的需要，将管理学和法学的理论基础、研究方法和实务应用进行有机结合，具有坚实的本学科理论和系统的专业知识，能够胜任企业及其他组织的中高层管理职务，能够从事企业管理咨询、研究和教育培训、身心健康的复合型高级的专门人才。</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具体要求：</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熟悉经济管理理论和法</w:t>
            </w:r>
            <w:proofErr w:type="gramStart"/>
            <w:r>
              <w:rPr>
                <w:rFonts w:ascii="Times New Roman" w:eastAsia="仿宋" w:hAnsi="Times New Roman"/>
                <w:color w:val="000000" w:themeColor="text1"/>
              </w:rPr>
              <w:t>商管理</w:t>
            </w:r>
            <w:proofErr w:type="gramEnd"/>
            <w:r>
              <w:rPr>
                <w:rFonts w:ascii="Times New Roman" w:eastAsia="仿宋" w:hAnsi="Times New Roman"/>
                <w:color w:val="000000" w:themeColor="text1"/>
              </w:rPr>
              <w:t>基础性知识、专业性知识和工具性知识，掌握管理学和法学的研究方法，能够理论联系实际，善于发现问题、分析问题和解决问题，从法和商两</w:t>
            </w:r>
            <w:proofErr w:type="gramStart"/>
            <w:r>
              <w:rPr>
                <w:rFonts w:ascii="Times New Roman" w:eastAsia="仿宋" w:hAnsi="Times New Roman"/>
                <w:color w:val="000000" w:themeColor="text1"/>
              </w:rPr>
              <w:t>个</w:t>
            </w:r>
            <w:proofErr w:type="gramEnd"/>
            <w:r>
              <w:rPr>
                <w:rFonts w:ascii="Times New Roman" w:eastAsia="仿宋" w:hAnsi="Times New Roman"/>
                <w:color w:val="000000" w:themeColor="text1"/>
              </w:rPr>
              <w:t>视角对企业案例进行分析研究。在从事经济管理理论研究和工商管理实务中，具备必要的法制意识和法学思维，合理应用相关法</w:t>
            </w:r>
            <w:proofErr w:type="gramStart"/>
            <w:r>
              <w:rPr>
                <w:rFonts w:ascii="Times New Roman" w:eastAsia="仿宋" w:hAnsi="Times New Roman"/>
                <w:color w:val="000000" w:themeColor="text1"/>
              </w:rPr>
              <w:t>务</w:t>
            </w:r>
            <w:proofErr w:type="gramEnd"/>
            <w:r>
              <w:rPr>
                <w:rFonts w:ascii="Times New Roman" w:eastAsia="仿宋" w:hAnsi="Times New Roman"/>
                <w:color w:val="000000" w:themeColor="text1"/>
              </w:rPr>
              <w:t>原则和方法，具备管理和法律双重能力。</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具有良好的学术素养和学术道德，具有较强的获取知识能力、科学研究能力、实践能力、学术交流能力，具有良好的心理素质，能够进行严谨的逻辑思维和创新性思维，具有良好的理解力、记忆力和表达能力。</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rPr>
                <w:rFonts w:ascii="Times New Roman" w:eastAsia="仿宋" w:hAnsi="Times New Roman"/>
                <w:color w:val="000000" w:themeColor="text1"/>
              </w:rPr>
            </w:pPr>
            <w:r>
              <w:rPr>
                <w:rFonts w:ascii="Times New Roman" w:eastAsia="仿宋" w:hAnsi="Times New Roman"/>
                <w:color w:val="000000" w:themeColor="text1"/>
              </w:rPr>
              <w:t>1.</w:t>
            </w:r>
            <w:r>
              <w:rPr>
                <w:rFonts w:ascii="Times New Roman" w:eastAsia="仿宋" w:hAnsi="Times New Roman"/>
                <w:color w:val="000000" w:themeColor="text1"/>
              </w:rPr>
              <w:t>法商管理理论体系</w:t>
            </w:r>
          </w:p>
          <w:p w:rsidR="00AE7AE2" w:rsidRDefault="00AE7AE2" w:rsidP="008C702D">
            <w:pPr>
              <w:rPr>
                <w:rFonts w:ascii="Times New Roman" w:eastAsia="仿宋" w:hAnsi="Times New Roman"/>
                <w:color w:val="000000" w:themeColor="text1"/>
              </w:rPr>
            </w:pPr>
            <w:r>
              <w:rPr>
                <w:rFonts w:ascii="Times New Roman" w:eastAsia="仿宋" w:hAnsi="Times New Roman"/>
                <w:color w:val="000000" w:themeColor="text1"/>
              </w:rPr>
              <w:t>2.</w:t>
            </w:r>
            <w:r>
              <w:rPr>
                <w:rFonts w:ascii="Times New Roman" w:eastAsia="仿宋" w:hAnsi="Times New Roman"/>
                <w:color w:val="000000" w:themeColor="text1"/>
              </w:rPr>
              <w:t>法</w:t>
            </w:r>
            <w:proofErr w:type="gramStart"/>
            <w:r>
              <w:rPr>
                <w:rFonts w:ascii="Times New Roman" w:eastAsia="仿宋" w:hAnsi="Times New Roman"/>
                <w:color w:val="000000" w:themeColor="text1"/>
              </w:rPr>
              <w:t>商管理</w:t>
            </w:r>
            <w:proofErr w:type="gramEnd"/>
            <w:r>
              <w:rPr>
                <w:rFonts w:ascii="Times New Roman" w:eastAsia="仿宋" w:hAnsi="Times New Roman"/>
                <w:color w:val="000000" w:themeColor="text1"/>
              </w:rPr>
              <w:t>研究方法</w:t>
            </w:r>
          </w:p>
          <w:p w:rsidR="00AE7AE2" w:rsidRDefault="00AE7AE2" w:rsidP="008C702D">
            <w:pPr>
              <w:rPr>
                <w:rFonts w:ascii="Times New Roman" w:hAnsi="Times New Roman"/>
                <w:color w:val="000000" w:themeColor="text1"/>
              </w:rPr>
            </w:pPr>
            <w:r>
              <w:rPr>
                <w:rFonts w:ascii="Times New Roman" w:eastAsia="仿宋" w:hAnsi="Times New Roman"/>
                <w:color w:val="000000" w:themeColor="text1"/>
              </w:rPr>
              <w:t>3.</w:t>
            </w:r>
            <w:r>
              <w:rPr>
                <w:rFonts w:ascii="Times New Roman" w:eastAsia="仿宋" w:hAnsi="Times New Roman"/>
                <w:color w:val="000000" w:themeColor="text1"/>
              </w:rPr>
              <w:t>法</w:t>
            </w:r>
            <w:proofErr w:type="gramStart"/>
            <w:r>
              <w:rPr>
                <w:rFonts w:ascii="Times New Roman" w:eastAsia="仿宋" w:hAnsi="Times New Roman"/>
                <w:color w:val="000000" w:themeColor="text1"/>
              </w:rPr>
              <w:t>商管理</w:t>
            </w:r>
            <w:proofErr w:type="gramEnd"/>
            <w:r>
              <w:rPr>
                <w:rFonts w:ascii="Times New Roman" w:eastAsia="仿宋" w:hAnsi="Times New Roman"/>
                <w:color w:val="000000" w:themeColor="text1"/>
              </w:rPr>
              <w:t>案例研究</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rPr>
                <w:rFonts w:ascii="Times New Roman" w:eastAsia="黑体" w:hAnsi="Times New Roman"/>
                <w:color w:val="000000" w:themeColor="text1"/>
              </w:rPr>
            </w:pPr>
            <w:r>
              <w:rPr>
                <w:rFonts w:ascii="Times New Roman" w:eastAsia="黑体" w:hAnsi="Times New Roman"/>
                <w:color w:val="000000" w:themeColor="text1"/>
              </w:rPr>
              <w:t>四、学制及学习年限</w:t>
            </w:r>
          </w:p>
        </w:tc>
        <w:tc>
          <w:tcPr>
            <w:tcW w:w="1771" w:type="dxa"/>
            <w:tcBorders>
              <w:top w:val="single" w:sz="4" w:space="0" w:color="auto"/>
              <w:left w:val="single" w:sz="4" w:space="0" w:color="auto"/>
              <w:bottom w:val="single" w:sz="4" w:space="0" w:color="auto"/>
            </w:tcBorders>
            <w:vAlign w:val="center"/>
          </w:tcPr>
          <w:p w:rsidR="00AE7AE2" w:rsidRDefault="00AE7AE2"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AE7AE2" w:rsidRDefault="00AE7AE2"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AE7AE2" w:rsidRDefault="00AE7AE2"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AE7AE2" w:rsidRDefault="00AE7AE2"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jc w:val="left"/>
              <w:rPr>
                <w:rFonts w:ascii="Times New Roman" w:eastAsia="黑体" w:hAnsi="Times New Roman"/>
                <w:color w:val="000000" w:themeColor="text1"/>
              </w:rPr>
            </w:pPr>
            <w:r>
              <w:rPr>
                <w:rFonts w:ascii="Times New Roman" w:eastAsia="黑体" w:hAnsi="Times New Roman"/>
                <w:color w:val="000000" w:themeColor="text1"/>
              </w:rPr>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rPr>
                <w:rFonts w:ascii="Times New Roman" w:hAnsi="Times New Roman"/>
                <w:color w:val="000000" w:themeColor="text1"/>
              </w:rPr>
            </w:pPr>
            <w:r>
              <w:rPr>
                <w:rFonts w:ascii="Times New Roman" w:hAnsi="Times New Roman"/>
                <w:color w:val="000000" w:themeColor="text1"/>
              </w:rPr>
              <w:t>见附表</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jc w:val="center"/>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实行导师负责制下的研究方向组制。</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lastRenderedPageBreak/>
              <w:t>本专业硕士生以课程学习为主，科学研究与管理实践为辅。</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专业课程采取教师讲授和课堂讨论相结合的方式进行。</w:t>
            </w:r>
          </w:p>
          <w:p w:rsidR="00AE7AE2" w:rsidRDefault="00AE7AE2" w:rsidP="008C702D">
            <w:pPr>
              <w:ind w:firstLineChars="200" w:firstLine="480"/>
              <w:rPr>
                <w:rFonts w:ascii="Times New Roman" w:hAnsi="Times New Roman"/>
                <w:color w:val="000000" w:themeColor="text1"/>
              </w:rPr>
            </w:pPr>
            <w:r>
              <w:rPr>
                <w:rFonts w:ascii="Times New Roman" w:eastAsia="仿宋" w:hAnsi="Times New Roman"/>
                <w:color w:val="000000" w:themeColor="text1"/>
              </w:rPr>
              <w:t>积极开展研讨课、案例课、慕课、课后读书小组等多种形式的教学方式，</w:t>
            </w:r>
            <w:r>
              <w:rPr>
                <w:rFonts w:ascii="Times New Roman" w:hAnsi="Times New Roman"/>
                <w:color w:val="000000" w:themeColor="text1"/>
              </w:rPr>
              <w:t>注重理论与实际相结合，第一课堂和第二课堂相结合，加强研究生专业素质和综合素质的培养，特别要注意培养研究生的创新能力、分析问题能力、解决问题能力、语言表达能力及写作能力。</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了解企业管理学科专业的理论体系，系统学习企业管理学科专业的基本原理、基本理论，提高和深化对企业管理学科专业的理论和理论框架的认识。能够提出自己的看法和想法，进行系统的论证；通过以点带面，促进理论的深化和思维能力的提高。</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关注社会，关注现实，关注当代中国经济与社会发展实践，积极探索企业管理新领域、新现象、新问题，鼓励学术理论创新，具有较强的创新精神与实践能力。</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较为熟练地掌握一门外语，达到听、说、读、写水平。适应各类国家机关和企事业单位在社会主义市场经济下所需要的复合型高级专业人才。</w:t>
            </w:r>
          </w:p>
          <w:p w:rsidR="00AE7AE2" w:rsidRDefault="00AE7AE2" w:rsidP="008C702D">
            <w:pPr>
              <w:ind w:firstLineChars="200" w:firstLine="480"/>
              <w:rPr>
                <w:rFonts w:ascii="Times New Roman" w:eastAsia="仿宋" w:hAnsi="Times New Roman"/>
                <w:color w:val="000000" w:themeColor="text1"/>
              </w:rPr>
            </w:pP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rPr>
                <w:rFonts w:ascii="Times New Roman" w:eastAsia="黑体" w:hAnsi="Times New Roman"/>
                <w:color w:val="000000" w:themeColor="text1"/>
              </w:rPr>
            </w:pPr>
            <w:r>
              <w:rPr>
                <w:rFonts w:ascii="Times New Roman" w:eastAsia="黑体" w:hAnsi="Times New Roman"/>
                <w:color w:val="000000" w:themeColor="text1"/>
              </w:rPr>
              <w:t>八、考核方式</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与建立研究生分流培养的机制相适应，配合多规格多标准的人才培养模式，加强阶段性考核，重视选拔培养对象、重点扶持等环节。</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学术型硕士研究生应撰写相关的专题论文、读书报告、学期论文作为科研能力的考核。</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社会实践环节是学术型硕士研究生的必修环节。社会实践可以通过专业实习、挂职锻炼、产学研基地联合培养和社会调查等走入社会的方式进行，以专业实习为主。社会实践的时间一般不得少于</w:t>
            </w:r>
            <w:r>
              <w:rPr>
                <w:rFonts w:ascii="Times New Roman" w:eastAsia="仿宋" w:hAnsi="Times New Roman"/>
                <w:color w:val="000000" w:themeColor="text1"/>
              </w:rPr>
              <w:t>2</w:t>
            </w:r>
            <w:r>
              <w:rPr>
                <w:rFonts w:ascii="Times New Roman" w:eastAsia="仿宋" w:hAnsi="Times New Roman"/>
                <w:color w:val="000000" w:themeColor="text1"/>
              </w:rPr>
              <w:t>个月，并需要提交不低于</w:t>
            </w:r>
            <w:r>
              <w:rPr>
                <w:rFonts w:ascii="Times New Roman" w:eastAsia="仿宋" w:hAnsi="Times New Roman"/>
                <w:color w:val="000000" w:themeColor="text1"/>
              </w:rPr>
              <w:t>5</w:t>
            </w:r>
            <w:r>
              <w:rPr>
                <w:rFonts w:ascii="Times New Roman" w:eastAsia="仿宋" w:hAnsi="Times New Roman"/>
                <w:color w:val="000000" w:themeColor="text1"/>
              </w:rPr>
              <w:t>千字的社会实践报告。</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学术型硕士研究生的中期考核主要采取书面审核方式。具体方式和程序依据《中国政法大学学术型硕士研究生培养规定》。</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学术型硕士研究生的开题报告按照《中国政法大学学术型硕士研究生培养规定》，由</w:t>
            </w:r>
            <w:r>
              <w:rPr>
                <w:rFonts w:ascii="Times New Roman" w:eastAsia="仿宋" w:hAnsi="Times New Roman"/>
                <w:color w:val="000000" w:themeColor="text1"/>
              </w:rPr>
              <w:t>3</w:t>
            </w:r>
            <w:r>
              <w:rPr>
                <w:rFonts w:ascii="Times New Roman" w:eastAsia="仿宋" w:hAnsi="Times New Roman"/>
                <w:color w:val="000000" w:themeColor="text1"/>
              </w:rPr>
              <w:t>位具有导师资格的校内外专家组成考核委员会进行。</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jc w:val="left"/>
              <w:rPr>
                <w:rFonts w:ascii="Times New Roman" w:eastAsia="黑体" w:hAnsi="Times New Roman"/>
                <w:color w:val="000000" w:themeColor="text1"/>
              </w:rPr>
            </w:pPr>
            <w:r>
              <w:rPr>
                <w:rFonts w:ascii="Times New Roman" w:eastAsia="黑体" w:hAnsi="Times New Roman"/>
                <w:color w:val="000000" w:themeColor="text1"/>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本专业研究生的学位论文选题必须在本专业的研究范围内确定；</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学位论文的选题，由研究生与导师协商确定，由开题小组导师提出修改建议，最后确定题目；</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学位论文初稿完成后，导师认真修改，必要时发回重写，最后定稿打印；</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学位论文必须符合学校原创性和规范性要求，严禁抄袭剽窃，且论文正文字数不少于三万字。</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申请学位必须符合国家规定的法定条件；</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学位申请材料必须齐全，内容全面真实；</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答辩委员会在认真审阅学位论文的基础上，对申请人进行公正、严肃、认真、负责的提问和无记名表决，并向校学位评定委员会提出授予或不授予硕士学位的建议。</w:t>
            </w:r>
          </w:p>
          <w:p w:rsidR="00AE7AE2" w:rsidRDefault="00AE7AE2" w:rsidP="008C702D">
            <w:pPr>
              <w:ind w:firstLineChars="200" w:firstLine="480"/>
              <w:rPr>
                <w:rFonts w:ascii="Times New Roman" w:hAnsi="Times New Roman"/>
                <w:color w:val="000000" w:themeColor="text1"/>
              </w:rPr>
            </w:pPr>
            <w:r>
              <w:rPr>
                <w:rFonts w:ascii="Times New Roman" w:eastAsia="仿宋" w:hAnsi="Times New Roman"/>
                <w:color w:val="000000" w:themeColor="text1"/>
              </w:rPr>
              <w:t>硕士学位的授予应符合《中国政法大学学位授予办法》（法大发〔</w:t>
            </w:r>
            <w:r>
              <w:rPr>
                <w:rFonts w:ascii="Times New Roman" w:eastAsia="仿宋" w:hAnsi="Times New Roman"/>
                <w:color w:val="000000" w:themeColor="text1"/>
              </w:rPr>
              <w:t>2016</w:t>
            </w:r>
            <w:r>
              <w:rPr>
                <w:rFonts w:ascii="Times New Roman" w:eastAsia="仿宋" w:hAnsi="Times New Roman"/>
                <w:color w:val="000000" w:themeColor="text1"/>
              </w:rPr>
              <w:t>〕</w:t>
            </w:r>
            <w:r>
              <w:rPr>
                <w:rFonts w:ascii="Times New Roman" w:eastAsia="仿宋" w:hAnsi="Times New Roman"/>
                <w:color w:val="000000" w:themeColor="text1"/>
              </w:rPr>
              <w:t>44</w:t>
            </w:r>
            <w:r>
              <w:rPr>
                <w:rFonts w:ascii="Times New Roman" w:eastAsia="仿宋" w:hAnsi="Times New Roman"/>
                <w:color w:val="000000" w:themeColor="text1"/>
              </w:rPr>
              <w:t>号）和《中华人民共和国学位条例》的要求。</w:t>
            </w:r>
          </w:p>
        </w:tc>
      </w:tr>
      <w:tr w:rsidR="00AE7AE2" w:rsidTr="008C702D">
        <w:trPr>
          <w:trHeight w:val="20"/>
        </w:trPr>
        <w:tc>
          <w:tcPr>
            <w:tcW w:w="2269" w:type="dxa"/>
            <w:tcBorders>
              <w:top w:val="single" w:sz="4" w:space="0" w:color="auto"/>
              <w:bottom w:val="single" w:sz="4" w:space="0" w:color="auto"/>
              <w:right w:val="single" w:sz="4" w:space="0" w:color="auto"/>
            </w:tcBorders>
            <w:vAlign w:val="center"/>
          </w:tcPr>
          <w:p w:rsidR="00AE7AE2" w:rsidRDefault="00AE7AE2" w:rsidP="008C702D">
            <w:pPr>
              <w:jc w:val="left"/>
              <w:rPr>
                <w:rFonts w:ascii="Times New Roman" w:eastAsia="黑体" w:hAnsi="Times New Roman"/>
                <w:color w:val="000000" w:themeColor="text1"/>
              </w:rPr>
            </w:pPr>
            <w:r>
              <w:rPr>
                <w:rFonts w:ascii="Times New Roman" w:eastAsia="黑体" w:hAnsi="Times New Roman"/>
                <w:color w:val="000000" w:themeColor="text1"/>
              </w:rPr>
              <w:t>十一、参考文献</w:t>
            </w:r>
          </w:p>
        </w:tc>
        <w:tc>
          <w:tcPr>
            <w:tcW w:w="6520" w:type="dxa"/>
            <w:gridSpan w:val="4"/>
            <w:tcBorders>
              <w:top w:val="single" w:sz="4" w:space="0" w:color="auto"/>
              <w:left w:val="single" w:sz="4" w:space="0" w:color="auto"/>
              <w:bottom w:val="single" w:sz="4" w:space="0" w:color="auto"/>
            </w:tcBorders>
            <w:vAlign w:val="center"/>
          </w:tcPr>
          <w:p w:rsidR="00AE7AE2" w:rsidRDefault="00AE7AE2" w:rsidP="008C702D">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一、必读文献（</w:t>
            </w:r>
            <w:r>
              <w:rPr>
                <w:rFonts w:ascii="Times New Roman" w:eastAsia="仿宋" w:hAnsi="Times New Roman"/>
                <w:b/>
                <w:color w:val="000000" w:themeColor="text1"/>
              </w:rPr>
              <w:t>10</w:t>
            </w:r>
            <w:r>
              <w:rPr>
                <w:rFonts w:ascii="Times New Roman" w:eastAsia="仿宋" w:hAnsi="Times New Roman"/>
                <w:b/>
                <w:color w:val="000000" w:themeColor="text1"/>
              </w:rPr>
              <w:t>本）</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托马斯</w:t>
            </w:r>
            <w:r>
              <w:rPr>
                <w:rFonts w:ascii="Times New Roman" w:hAnsi="Times New Roman"/>
                <w:color w:val="000000" w:themeColor="text1"/>
                <w:szCs w:val="24"/>
              </w:rPr>
              <w:t>·S·</w:t>
            </w:r>
            <w:r>
              <w:rPr>
                <w:rFonts w:ascii="Times New Roman" w:hAnsi="Times New Roman"/>
                <w:color w:val="000000" w:themeColor="text1"/>
                <w:szCs w:val="24"/>
              </w:rPr>
              <w:t>贝特曼等：《管理学：竞争新格局》（第</w:t>
            </w:r>
            <w:r>
              <w:rPr>
                <w:rFonts w:ascii="Times New Roman" w:hAnsi="Times New Roman"/>
                <w:color w:val="000000" w:themeColor="text1"/>
                <w:szCs w:val="24"/>
              </w:rPr>
              <w:t>6</w:t>
            </w:r>
            <w:r>
              <w:rPr>
                <w:rFonts w:ascii="Times New Roman" w:hAnsi="Times New Roman"/>
                <w:color w:val="000000" w:themeColor="text1"/>
                <w:szCs w:val="24"/>
              </w:rPr>
              <w:t>版），北京大学出版社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迈克尔</w:t>
            </w:r>
            <w:r>
              <w:rPr>
                <w:rFonts w:ascii="Times New Roman" w:hAnsi="Times New Roman"/>
                <w:color w:val="000000" w:themeColor="text1"/>
                <w:szCs w:val="24"/>
              </w:rPr>
              <w:t>·</w:t>
            </w:r>
            <w:r>
              <w:rPr>
                <w:rFonts w:ascii="Times New Roman" w:hAnsi="Times New Roman"/>
                <w:color w:val="000000" w:themeColor="text1"/>
                <w:szCs w:val="24"/>
              </w:rPr>
              <w:t>希特等：《战略管理》（第</w:t>
            </w:r>
            <w:r>
              <w:rPr>
                <w:rFonts w:ascii="Times New Roman" w:hAnsi="Times New Roman"/>
                <w:color w:val="000000" w:themeColor="text1"/>
                <w:szCs w:val="24"/>
              </w:rPr>
              <w:t>8</w:t>
            </w:r>
            <w:r>
              <w:rPr>
                <w:rFonts w:ascii="Times New Roman" w:hAnsi="Times New Roman"/>
                <w:color w:val="000000" w:themeColor="text1"/>
                <w:szCs w:val="24"/>
              </w:rPr>
              <w:t>版），中国人民大学出版社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王方华、吕巍等：《战略管理》（第</w:t>
            </w:r>
            <w:r>
              <w:rPr>
                <w:rFonts w:ascii="Times New Roman" w:hAnsi="Times New Roman"/>
                <w:color w:val="000000" w:themeColor="text1"/>
                <w:szCs w:val="24"/>
              </w:rPr>
              <w:t>2</w:t>
            </w:r>
            <w:r>
              <w:rPr>
                <w:rFonts w:ascii="Times New Roman" w:hAnsi="Times New Roman"/>
                <w:color w:val="000000" w:themeColor="text1"/>
                <w:szCs w:val="24"/>
              </w:rPr>
              <w:t>版），机械工业出版社</w:t>
            </w:r>
            <w:r>
              <w:rPr>
                <w:rFonts w:ascii="Times New Roman" w:hAnsi="Times New Roman"/>
                <w:color w:val="000000" w:themeColor="text1"/>
                <w:szCs w:val="24"/>
              </w:rPr>
              <w:t>2011</w:t>
            </w:r>
            <w:r>
              <w:rPr>
                <w:rFonts w:ascii="Times New Roman" w:hAnsi="Times New Roman"/>
                <w:color w:val="000000" w:themeColor="text1"/>
                <w:szCs w:val="24"/>
              </w:rPr>
              <w:t>年版。</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菲利普</w:t>
            </w:r>
            <w:r>
              <w:rPr>
                <w:rFonts w:ascii="Times New Roman" w:hAnsi="Times New Roman"/>
                <w:color w:val="000000" w:themeColor="text1"/>
                <w:szCs w:val="24"/>
              </w:rPr>
              <w:t>·</w:t>
            </w:r>
            <w:r>
              <w:rPr>
                <w:rFonts w:ascii="Times New Roman" w:hAnsi="Times New Roman"/>
                <w:color w:val="000000" w:themeColor="text1"/>
                <w:szCs w:val="24"/>
              </w:rPr>
              <w:t>科特勒、凯文</w:t>
            </w:r>
            <w:r>
              <w:rPr>
                <w:rFonts w:ascii="Times New Roman" w:hAnsi="Times New Roman"/>
                <w:color w:val="000000" w:themeColor="text1"/>
                <w:szCs w:val="24"/>
              </w:rPr>
              <w:t>·</w:t>
            </w:r>
            <w:r>
              <w:rPr>
                <w:rFonts w:ascii="Times New Roman" w:hAnsi="Times New Roman"/>
                <w:color w:val="000000" w:themeColor="text1"/>
                <w:szCs w:val="24"/>
              </w:rPr>
              <w:t>莱恩</w:t>
            </w:r>
            <w:r>
              <w:rPr>
                <w:rFonts w:ascii="Times New Roman" w:hAnsi="Times New Roman"/>
                <w:color w:val="000000" w:themeColor="text1"/>
                <w:szCs w:val="24"/>
              </w:rPr>
              <w:t>·</w:t>
            </w:r>
            <w:r>
              <w:rPr>
                <w:rFonts w:ascii="Times New Roman" w:hAnsi="Times New Roman"/>
                <w:color w:val="000000" w:themeColor="text1"/>
                <w:szCs w:val="24"/>
              </w:rPr>
              <w:t>凯勒著：《营销管理》（第</w:t>
            </w:r>
            <w:r>
              <w:rPr>
                <w:rFonts w:ascii="Times New Roman" w:hAnsi="Times New Roman"/>
                <w:color w:val="000000" w:themeColor="text1"/>
                <w:szCs w:val="24"/>
              </w:rPr>
              <w:t>13</w:t>
            </w:r>
            <w:r>
              <w:rPr>
                <w:rFonts w:ascii="Times New Roman" w:hAnsi="Times New Roman"/>
                <w:color w:val="000000" w:themeColor="text1"/>
                <w:szCs w:val="24"/>
              </w:rPr>
              <w:t>版</w:t>
            </w:r>
            <w:r>
              <w:rPr>
                <w:rFonts w:ascii="Times New Roman" w:hAnsi="Times New Roman"/>
                <w:color w:val="000000" w:themeColor="text1"/>
                <w:szCs w:val="24"/>
              </w:rPr>
              <w:t>·</w:t>
            </w:r>
            <w:r>
              <w:rPr>
                <w:rFonts w:ascii="Times New Roman" w:hAnsi="Times New Roman"/>
                <w:color w:val="000000" w:themeColor="text1"/>
                <w:szCs w:val="24"/>
              </w:rPr>
              <w:t>中国版），中国人民大学出版社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Thomas C.R.</w:t>
            </w:r>
            <w:r>
              <w:rPr>
                <w:rFonts w:ascii="Times New Roman" w:hAnsi="Times New Roman"/>
                <w:color w:val="000000" w:themeColor="text1"/>
                <w:szCs w:val="24"/>
              </w:rPr>
              <w:t>，</w:t>
            </w:r>
            <w:proofErr w:type="spellStart"/>
            <w:r>
              <w:rPr>
                <w:rFonts w:ascii="Times New Roman" w:hAnsi="Times New Roman"/>
                <w:color w:val="000000" w:themeColor="text1"/>
                <w:szCs w:val="24"/>
              </w:rPr>
              <w:t>Maurice</w:t>
            </w:r>
            <w:proofErr w:type="gramStart"/>
            <w:r>
              <w:rPr>
                <w:rFonts w:ascii="Times New Roman" w:hAnsi="Times New Roman"/>
                <w:color w:val="000000" w:themeColor="text1"/>
                <w:szCs w:val="24"/>
              </w:rPr>
              <w:t>,S.C</w:t>
            </w:r>
            <w:proofErr w:type="spellEnd"/>
            <w:r>
              <w:rPr>
                <w:rFonts w:ascii="Times New Roman" w:hAnsi="Times New Roman"/>
                <w:color w:val="000000" w:themeColor="text1"/>
                <w:szCs w:val="24"/>
              </w:rPr>
              <w:t>著</w:t>
            </w:r>
            <w:proofErr w:type="gramEnd"/>
            <w:r>
              <w:rPr>
                <w:rFonts w:ascii="Times New Roman" w:hAnsi="Times New Roman"/>
                <w:color w:val="000000" w:themeColor="text1"/>
                <w:szCs w:val="24"/>
              </w:rPr>
              <w:t>，葛凤玲译，《管理经济学》第九版，机械工业出版社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张维迎：《博弈论与信息经济学》，上海人民出版社</w:t>
            </w:r>
            <w:r>
              <w:rPr>
                <w:rFonts w:ascii="Times New Roman" w:hAnsi="Times New Roman"/>
                <w:color w:val="000000" w:themeColor="text1"/>
                <w:szCs w:val="24"/>
              </w:rPr>
              <w:t>1996</w:t>
            </w:r>
            <w:r>
              <w:rPr>
                <w:rFonts w:ascii="Times New Roman" w:hAnsi="Times New Roman"/>
                <w:color w:val="000000" w:themeColor="text1"/>
                <w:szCs w:val="24"/>
              </w:rPr>
              <w:t>年。</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科利等著，李维安等译：《公司治理》，中国财经出版社</w:t>
            </w:r>
            <w:r>
              <w:rPr>
                <w:rFonts w:ascii="Times New Roman" w:hAnsi="Times New Roman"/>
                <w:color w:val="000000" w:themeColor="text1"/>
                <w:szCs w:val="24"/>
              </w:rPr>
              <w:t>2004</w:t>
            </w:r>
            <w:r>
              <w:rPr>
                <w:rFonts w:ascii="Times New Roman" w:hAnsi="Times New Roman"/>
                <w:color w:val="000000" w:themeColor="text1"/>
                <w:szCs w:val="24"/>
              </w:rPr>
              <w:t>年版。</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Fred </w:t>
            </w:r>
            <w:proofErr w:type="gramStart"/>
            <w:r>
              <w:rPr>
                <w:rFonts w:ascii="Times New Roman" w:hAnsi="Times New Roman"/>
                <w:color w:val="000000" w:themeColor="text1"/>
                <w:szCs w:val="24"/>
              </w:rPr>
              <w:t>R .</w:t>
            </w:r>
            <w:proofErr w:type="gramEnd"/>
            <w:r>
              <w:rPr>
                <w:rFonts w:ascii="Times New Roman" w:hAnsi="Times New Roman"/>
                <w:color w:val="000000" w:themeColor="text1"/>
                <w:szCs w:val="24"/>
              </w:rPr>
              <w:t xml:space="preserve"> David &lt;Strategic Management</w:t>
            </w:r>
            <w:proofErr w:type="gramStart"/>
            <w:r>
              <w:rPr>
                <w:rFonts w:ascii="Times New Roman" w:hAnsi="Times New Roman"/>
                <w:color w:val="000000" w:themeColor="text1"/>
                <w:szCs w:val="24"/>
              </w:rPr>
              <w:t>&gt;(</w:t>
            </w:r>
            <w:proofErr w:type="gramEnd"/>
            <w:r>
              <w:rPr>
                <w:rFonts w:ascii="Times New Roman" w:hAnsi="Times New Roman"/>
                <w:color w:val="000000" w:themeColor="text1"/>
                <w:szCs w:val="24"/>
              </w:rPr>
              <w:t>13th ,Edition) , Pearson \ Prentice Hall.</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Philip </w:t>
            </w:r>
            <w:proofErr w:type="spellStart"/>
            <w:r>
              <w:rPr>
                <w:rFonts w:ascii="Times New Roman" w:hAnsi="Times New Roman"/>
                <w:color w:val="000000" w:themeColor="text1"/>
                <w:szCs w:val="24"/>
              </w:rPr>
              <w:t>Kotele</w:t>
            </w:r>
            <w:proofErr w:type="spellEnd"/>
            <w:r>
              <w:rPr>
                <w:rFonts w:ascii="Times New Roman" w:hAnsi="Times New Roman"/>
                <w:color w:val="000000" w:themeColor="text1"/>
                <w:szCs w:val="24"/>
              </w:rPr>
              <w:t>,</w:t>
            </w:r>
            <w:proofErr w:type="gramStart"/>
            <w:r>
              <w:rPr>
                <w:rFonts w:ascii="Times New Roman" w:hAnsi="Times New Roman"/>
                <w:color w:val="000000" w:themeColor="text1"/>
                <w:szCs w:val="24"/>
              </w:rPr>
              <w:t>  Kevin</w:t>
            </w:r>
            <w:proofErr w:type="gramEnd"/>
            <w:r>
              <w:rPr>
                <w:rFonts w:ascii="Times New Roman" w:hAnsi="Times New Roman"/>
                <w:color w:val="000000" w:themeColor="text1"/>
                <w:szCs w:val="24"/>
              </w:rPr>
              <w:t xml:space="preserve"> Lane Keller : &lt;Marketing Management&gt;(13th Edition) , Pearson\Prentice Hall.</w:t>
            </w:r>
          </w:p>
          <w:p w:rsidR="00AE7AE2" w:rsidRDefault="00AE7AE2" w:rsidP="00AE7AE2">
            <w:pPr>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Richard </w:t>
            </w:r>
            <w:proofErr w:type="gramStart"/>
            <w:r>
              <w:rPr>
                <w:rFonts w:ascii="Times New Roman" w:hAnsi="Times New Roman"/>
                <w:color w:val="000000" w:themeColor="text1"/>
                <w:szCs w:val="24"/>
              </w:rPr>
              <w:t>A .</w:t>
            </w:r>
            <w:proofErr w:type="gramEnd"/>
            <w:r>
              <w:rPr>
                <w:rFonts w:ascii="Times New Roman" w:hAnsi="Times New Roman"/>
                <w:color w:val="000000" w:themeColor="text1"/>
                <w:szCs w:val="24"/>
              </w:rPr>
              <w:t xml:space="preserve"> </w:t>
            </w:r>
            <w:proofErr w:type="gramStart"/>
            <w:r>
              <w:rPr>
                <w:rFonts w:ascii="Times New Roman" w:hAnsi="Times New Roman"/>
                <w:color w:val="000000" w:themeColor="text1"/>
                <w:szCs w:val="24"/>
              </w:rPr>
              <w:t>Johnson ,</w:t>
            </w:r>
            <w:proofErr w:type="gramEnd"/>
            <w:r>
              <w:rPr>
                <w:rFonts w:ascii="Times New Roman" w:hAnsi="Times New Roman"/>
                <w:color w:val="000000" w:themeColor="text1"/>
                <w:szCs w:val="24"/>
              </w:rPr>
              <w:t xml:space="preserve"> Dean W. Wichern</w:t>
            </w:r>
            <w:r>
              <w:rPr>
                <w:rFonts w:ascii="Times New Roman" w:hAnsi="Times New Roman"/>
                <w:color w:val="000000" w:themeColor="text1"/>
                <w:szCs w:val="24"/>
              </w:rPr>
              <w:t>著：《实用多元统计分析》第</w:t>
            </w:r>
            <w:r>
              <w:rPr>
                <w:rFonts w:ascii="Times New Roman" w:hAnsi="Times New Roman"/>
                <w:color w:val="000000" w:themeColor="text1"/>
                <w:szCs w:val="24"/>
              </w:rPr>
              <w:t>4</w:t>
            </w:r>
            <w:r>
              <w:rPr>
                <w:rFonts w:ascii="Times New Roman" w:hAnsi="Times New Roman"/>
                <w:color w:val="000000" w:themeColor="text1"/>
                <w:szCs w:val="24"/>
              </w:rPr>
              <w:t>版，清华大学出版社</w:t>
            </w:r>
            <w:r>
              <w:rPr>
                <w:rFonts w:ascii="Times New Roman" w:hAnsi="Times New Roman"/>
                <w:color w:val="000000" w:themeColor="text1"/>
                <w:szCs w:val="24"/>
              </w:rPr>
              <w:t>2008</w:t>
            </w:r>
            <w:r>
              <w:rPr>
                <w:rFonts w:ascii="Times New Roman" w:hAnsi="Times New Roman"/>
                <w:color w:val="000000" w:themeColor="text1"/>
                <w:szCs w:val="24"/>
              </w:rPr>
              <w:t>年版。</w:t>
            </w:r>
          </w:p>
          <w:p w:rsidR="00AE7AE2" w:rsidRDefault="00AE7AE2" w:rsidP="008C702D">
            <w:pPr>
              <w:ind w:firstLine="482"/>
              <w:rPr>
                <w:rFonts w:ascii="Times New Roman" w:eastAsia="仿宋" w:hAnsi="Times New Roman"/>
                <w:b/>
                <w:color w:val="000000" w:themeColor="text1"/>
              </w:rPr>
            </w:pPr>
            <w:r>
              <w:rPr>
                <w:rFonts w:ascii="Times New Roman" w:eastAsia="仿宋" w:hAnsi="Times New Roman"/>
                <w:b/>
                <w:color w:val="000000" w:themeColor="text1"/>
              </w:rPr>
              <w:t>二、选读文献（不超过</w:t>
            </w:r>
            <w:r>
              <w:rPr>
                <w:rFonts w:ascii="Times New Roman" w:eastAsia="仿宋" w:hAnsi="Times New Roman"/>
                <w:b/>
                <w:color w:val="000000" w:themeColor="text1"/>
              </w:rPr>
              <w:t>20</w:t>
            </w:r>
            <w:r>
              <w:rPr>
                <w:rFonts w:ascii="Times New Roman" w:eastAsia="仿宋" w:hAnsi="Times New Roman"/>
                <w:b/>
                <w:color w:val="000000" w:themeColor="text1"/>
              </w:rPr>
              <w:t>本）</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小阿瑟</w:t>
            </w:r>
            <w:r>
              <w:rPr>
                <w:rFonts w:ascii="Times New Roman" w:hAnsi="Times New Roman"/>
                <w:color w:val="000000" w:themeColor="text1"/>
                <w:szCs w:val="24"/>
              </w:rPr>
              <w:t>·A·</w:t>
            </w:r>
            <w:r>
              <w:rPr>
                <w:rFonts w:ascii="Times New Roman" w:hAnsi="Times New Roman"/>
                <w:color w:val="000000" w:themeColor="text1"/>
                <w:szCs w:val="24"/>
              </w:rPr>
              <w:t>汤普森等著：《战略管理：概念与案例》（第</w:t>
            </w:r>
            <w:r>
              <w:rPr>
                <w:rFonts w:ascii="Times New Roman" w:hAnsi="Times New Roman"/>
                <w:color w:val="000000" w:themeColor="text1"/>
                <w:szCs w:val="24"/>
              </w:rPr>
              <w:t>14</w:t>
            </w:r>
            <w:r>
              <w:rPr>
                <w:rFonts w:ascii="Times New Roman" w:hAnsi="Times New Roman"/>
                <w:color w:val="000000" w:themeColor="text1"/>
                <w:szCs w:val="24"/>
              </w:rPr>
              <w:t>版），北京大学出版社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lastRenderedPageBreak/>
              <w:t>安妮塔</w:t>
            </w:r>
            <w:r>
              <w:rPr>
                <w:rFonts w:ascii="Times New Roman" w:hAnsi="Times New Roman"/>
                <w:color w:val="000000" w:themeColor="text1"/>
                <w:szCs w:val="24"/>
              </w:rPr>
              <w:t>·M·</w:t>
            </w:r>
            <w:r>
              <w:rPr>
                <w:rFonts w:ascii="Times New Roman" w:hAnsi="Times New Roman"/>
                <w:color w:val="000000" w:themeColor="text1"/>
                <w:szCs w:val="24"/>
              </w:rPr>
              <w:t>麦加恩著《产业演变与企业战略》，商务印书馆</w:t>
            </w:r>
            <w:r>
              <w:rPr>
                <w:rFonts w:ascii="Times New Roman" w:hAnsi="Times New Roman"/>
                <w:color w:val="000000" w:themeColor="text1"/>
                <w:szCs w:val="24"/>
              </w:rPr>
              <w:t>2007</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W·</w:t>
            </w:r>
            <w:r>
              <w:rPr>
                <w:rFonts w:ascii="Times New Roman" w:hAnsi="Times New Roman"/>
                <w:color w:val="000000" w:themeColor="text1"/>
                <w:szCs w:val="24"/>
              </w:rPr>
              <w:t>钱</w:t>
            </w:r>
            <w:r>
              <w:rPr>
                <w:rFonts w:ascii="Times New Roman" w:hAnsi="Times New Roman"/>
                <w:color w:val="000000" w:themeColor="text1"/>
                <w:szCs w:val="24"/>
              </w:rPr>
              <w:t>·</w:t>
            </w:r>
            <w:r>
              <w:rPr>
                <w:rFonts w:ascii="Times New Roman" w:hAnsi="Times New Roman"/>
                <w:color w:val="000000" w:themeColor="text1"/>
                <w:szCs w:val="24"/>
              </w:rPr>
              <w:t>金等著：《蓝海战略》，商务印书馆</w:t>
            </w:r>
            <w:r>
              <w:rPr>
                <w:rFonts w:ascii="Times New Roman" w:hAnsi="Times New Roman"/>
                <w:color w:val="000000" w:themeColor="text1"/>
                <w:szCs w:val="24"/>
              </w:rPr>
              <w:t>2006</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克里斯廷</w:t>
            </w:r>
            <w:r>
              <w:rPr>
                <w:rFonts w:ascii="Times New Roman" w:hAnsi="Times New Roman"/>
                <w:color w:val="000000" w:themeColor="text1"/>
                <w:szCs w:val="24"/>
              </w:rPr>
              <w:t>·</w:t>
            </w:r>
            <w:r>
              <w:rPr>
                <w:rFonts w:ascii="Times New Roman" w:hAnsi="Times New Roman"/>
                <w:color w:val="000000" w:themeColor="text1"/>
                <w:szCs w:val="24"/>
              </w:rPr>
              <w:t>格罗鲁斯著：《服务管理与营销》（第</w:t>
            </w:r>
            <w:r>
              <w:rPr>
                <w:rFonts w:ascii="Times New Roman" w:hAnsi="Times New Roman"/>
                <w:color w:val="000000" w:themeColor="text1"/>
                <w:szCs w:val="24"/>
              </w:rPr>
              <w:t>3</w:t>
            </w:r>
            <w:r>
              <w:rPr>
                <w:rFonts w:ascii="Times New Roman" w:hAnsi="Times New Roman"/>
                <w:color w:val="000000" w:themeColor="text1"/>
                <w:szCs w:val="24"/>
              </w:rPr>
              <w:t>版），电子工业出版社</w:t>
            </w:r>
            <w:r>
              <w:rPr>
                <w:rFonts w:ascii="Times New Roman" w:hAnsi="Times New Roman"/>
                <w:color w:val="000000" w:themeColor="text1"/>
                <w:szCs w:val="24"/>
              </w:rPr>
              <w:t>2008</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亨利</w:t>
            </w:r>
            <w:r>
              <w:rPr>
                <w:rFonts w:ascii="Times New Roman" w:hAnsi="Times New Roman"/>
                <w:color w:val="000000" w:themeColor="text1"/>
                <w:szCs w:val="24"/>
              </w:rPr>
              <w:t>·</w:t>
            </w:r>
            <w:r>
              <w:rPr>
                <w:rFonts w:ascii="Times New Roman" w:hAnsi="Times New Roman"/>
                <w:color w:val="000000" w:themeColor="text1"/>
                <w:szCs w:val="24"/>
              </w:rPr>
              <w:t>明茨伯格等著，魏江译：《战略历程》，机械工业出版社</w:t>
            </w:r>
            <w:r>
              <w:rPr>
                <w:rFonts w:ascii="Times New Roman" w:hAnsi="Times New Roman"/>
                <w:color w:val="000000" w:themeColor="text1"/>
                <w:szCs w:val="24"/>
              </w:rPr>
              <w:t>2006</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詹姆斯</w:t>
            </w:r>
            <w:r>
              <w:rPr>
                <w:rFonts w:ascii="Times New Roman" w:hAnsi="Times New Roman"/>
                <w:color w:val="000000" w:themeColor="text1"/>
                <w:szCs w:val="24"/>
              </w:rPr>
              <w:t>·</w:t>
            </w:r>
            <w:r>
              <w:rPr>
                <w:rFonts w:ascii="Times New Roman" w:hAnsi="Times New Roman"/>
                <w:color w:val="000000" w:themeColor="text1"/>
                <w:szCs w:val="24"/>
              </w:rPr>
              <w:t>柯林斯等著，真如译：《基业长青》，中信出版社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迈克尔</w:t>
            </w:r>
            <w:r>
              <w:rPr>
                <w:rFonts w:ascii="Times New Roman" w:hAnsi="Times New Roman"/>
                <w:color w:val="000000" w:themeColor="text1"/>
                <w:szCs w:val="24"/>
              </w:rPr>
              <w:t>·</w:t>
            </w:r>
            <w:r>
              <w:rPr>
                <w:rFonts w:ascii="Times New Roman" w:hAnsi="Times New Roman"/>
                <w:color w:val="000000" w:themeColor="text1"/>
                <w:szCs w:val="24"/>
              </w:rPr>
              <w:t>波特著</w:t>
            </w:r>
            <w:r>
              <w:rPr>
                <w:rFonts w:ascii="Times New Roman" w:hAnsi="Times New Roman"/>
                <w:color w:val="000000" w:themeColor="text1"/>
                <w:szCs w:val="24"/>
              </w:rPr>
              <w:t>,</w:t>
            </w:r>
            <w:r>
              <w:rPr>
                <w:rFonts w:ascii="Times New Roman" w:hAnsi="Times New Roman"/>
                <w:color w:val="000000" w:themeColor="text1"/>
                <w:szCs w:val="24"/>
              </w:rPr>
              <w:t>陈小悦译，《竞争战略》，华夏出版社</w:t>
            </w:r>
            <w:r>
              <w:rPr>
                <w:rFonts w:ascii="Times New Roman" w:hAnsi="Times New Roman"/>
                <w:color w:val="000000" w:themeColor="text1"/>
                <w:szCs w:val="24"/>
              </w:rPr>
              <w:t>2005</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托马斯</w:t>
            </w:r>
            <w:r>
              <w:rPr>
                <w:rFonts w:ascii="Times New Roman" w:hAnsi="Times New Roman"/>
                <w:color w:val="000000" w:themeColor="text1"/>
                <w:szCs w:val="24"/>
              </w:rPr>
              <w:t>·</w:t>
            </w:r>
            <w:r>
              <w:rPr>
                <w:rFonts w:ascii="Times New Roman" w:hAnsi="Times New Roman"/>
                <w:color w:val="000000" w:themeColor="text1"/>
                <w:szCs w:val="24"/>
              </w:rPr>
              <w:t>彼得斯等著，胡玮珊译：《追求卓越》，中信出版社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罗纳德</w:t>
            </w:r>
            <w:r>
              <w:rPr>
                <w:rFonts w:ascii="Times New Roman" w:hAnsi="Times New Roman"/>
                <w:color w:val="000000" w:themeColor="text1"/>
                <w:szCs w:val="24"/>
              </w:rPr>
              <w:t>·S·</w:t>
            </w:r>
            <w:r>
              <w:rPr>
                <w:rFonts w:ascii="Times New Roman" w:hAnsi="Times New Roman"/>
                <w:color w:val="000000" w:themeColor="text1"/>
                <w:szCs w:val="24"/>
              </w:rPr>
              <w:t>史威福特著，杨东龙译：《客户关系管理》，中国经济出版社</w:t>
            </w:r>
            <w:r>
              <w:rPr>
                <w:rFonts w:ascii="Times New Roman" w:hAnsi="Times New Roman"/>
                <w:color w:val="000000" w:themeColor="text1"/>
                <w:szCs w:val="24"/>
              </w:rPr>
              <w:t>2002</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萨布哈什</w:t>
            </w:r>
            <w:r>
              <w:rPr>
                <w:rFonts w:ascii="Times New Roman" w:hAnsi="Times New Roman"/>
                <w:color w:val="000000" w:themeColor="text1"/>
                <w:szCs w:val="24"/>
              </w:rPr>
              <w:t>·C·</w:t>
            </w:r>
            <w:proofErr w:type="gramStart"/>
            <w:r>
              <w:rPr>
                <w:rFonts w:ascii="Times New Roman" w:hAnsi="Times New Roman"/>
                <w:color w:val="000000" w:themeColor="text1"/>
                <w:szCs w:val="24"/>
              </w:rPr>
              <w:t>杰恩著</w:t>
            </w:r>
            <w:proofErr w:type="gramEnd"/>
            <w:r>
              <w:rPr>
                <w:rFonts w:ascii="Times New Roman" w:hAnsi="Times New Roman"/>
                <w:color w:val="000000" w:themeColor="text1"/>
                <w:szCs w:val="24"/>
              </w:rPr>
              <w:t>，</w:t>
            </w:r>
            <w:proofErr w:type="gramStart"/>
            <w:r>
              <w:rPr>
                <w:rFonts w:ascii="Times New Roman" w:hAnsi="Times New Roman"/>
                <w:color w:val="000000" w:themeColor="text1"/>
                <w:szCs w:val="24"/>
              </w:rPr>
              <w:t>贾光伟</w:t>
            </w:r>
            <w:proofErr w:type="gramEnd"/>
            <w:r>
              <w:rPr>
                <w:rFonts w:ascii="Times New Roman" w:hAnsi="Times New Roman"/>
                <w:color w:val="000000" w:themeColor="text1"/>
                <w:szCs w:val="24"/>
              </w:rPr>
              <w:t>译：《市场营销策划与战略》第六版，中信出版社</w:t>
            </w:r>
            <w:r>
              <w:rPr>
                <w:rFonts w:ascii="Times New Roman" w:hAnsi="Times New Roman"/>
                <w:color w:val="000000" w:themeColor="text1"/>
                <w:szCs w:val="24"/>
              </w:rPr>
              <w:t>2004</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陈郁著：《所有权、控制权与激励</w:t>
            </w:r>
            <w:r>
              <w:rPr>
                <w:rFonts w:ascii="Times New Roman" w:hAnsi="Times New Roman"/>
                <w:color w:val="000000" w:themeColor="text1"/>
                <w:szCs w:val="24"/>
              </w:rPr>
              <w:t>——</w:t>
            </w:r>
            <w:r>
              <w:rPr>
                <w:rFonts w:ascii="Times New Roman" w:hAnsi="Times New Roman"/>
                <w:color w:val="000000" w:themeColor="text1"/>
                <w:szCs w:val="24"/>
              </w:rPr>
              <w:t>代理经济学文选》，上海三联书店</w:t>
            </w:r>
            <w:r>
              <w:rPr>
                <w:rFonts w:ascii="Times New Roman" w:hAnsi="Times New Roman"/>
                <w:color w:val="000000" w:themeColor="text1"/>
                <w:szCs w:val="24"/>
              </w:rPr>
              <w:t>1998</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proofErr w:type="spellStart"/>
            <w:r>
              <w:rPr>
                <w:rFonts w:ascii="Times New Roman" w:hAnsi="Times New Roman"/>
                <w:color w:val="000000" w:themeColor="text1"/>
                <w:szCs w:val="24"/>
              </w:rPr>
              <w:t>Gaughan</w:t>
            </w:r>
            <w:proofErr w:type="spellEnd"/>
            <w:r>
              <w:rPr>
                <w:rFonts w:ascii="Times New Roman" w:hAnsi="Times New Roman"/>
                <w:color w:val="000000" w:themeColor="text1"/>
                <w:szCs w:val="24"/>
              </w:rPr>
              <w:t xml:space="preserve"> P.A.</w:t>
            </w:r>
            <w:r>
              <w:rPr>
                <w:rFonts w:ascii="Times New Roman" w:hAnsi="Times New Roman"/>
                <w:color w:val="000000" w:themeColor="text1"/>
                <w:szCs w:val="24"/>
              </w:rPr>
              <w:t>著，</w:t>
            </w:r>
            <w:proofErr w:type="gramStart"/>
            <w:r>
              <w:rPr>
                <w:rFonts w:ascii="Times New Roman" w:hAnsi="Times New Roman"/>
                <w:color w:val="000000" w:themeColor="text1"/>
                <w:szCs w:val="24"/>
              </w:rPr>
              <w:t>朱宝宪等</w:t>
            </w:r>
            <w:proofErr w:type="gramEnd"/>
            <w:r>
              <w:rPr>
                <w:rFonts w:ascii="Times New Roman" w:hAnsi="Times New Roman"/>
                <w:color w:val="000000" w:themeColor="text1"/>
                <w:szCs w:val="24"/>
              </w:rPr>
              <w:t>译，《兼并、收购与公司重组》第三版，机械工业出版社</w:t>
            </w:r>
            <w:r>
              <w:rPr>
                <w:rFonts w:ascii="Times New Roman" w:hAnsi="Times New Roman"/>
                <w:color w:val="000000" w:themeColor="text1"/>
                <w:szCs w:val="24"/>
              </w:rPr>
              <w:t>2004</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布莱尔</w:t>
            </w:r>
            <w:r>
              <w:rPr>
                <w:rFonts w:ascii="Times New Roman" w:hAnsi="Times New Roman"/>
                <w:color w:val="000000" w:themeColor="text1"/>
                <w:szCs w:val="24"/>
              </w:rPr>
              <w:t>·M</w:t>
            </w:r>
            <w:r>
              <w:rPr>
                <w:rFonts w:ascii="Times New Roman" w:hAnsi="Times New Roman"/>
                <w:color w:val="000000" w:themeColor="text1"/>
                <w:szCs w:val="24"/>
              </w:rPr>
              <w:t>著：《所有权与控制：面向</w:t>
            </w:r>
            <w:r>
              <w:rPr>
                <w:rFonts w:ascii="Times New Roman" w:hAnsi="Times New Roman"/>
                <w:color w:val="000000" w:themeColor="text1"/>
                <w:szCs w:val="24"/>
              </w:rPr>
              <w:t>21</w:t>
            </w:r>
            <w:r>
              <w:rPr>
                <w:rFonts w:ascii="Times New Roman" w:hAnsi="Times New Roman"/>
                <w:color w:val="000000" w:themeColor="text1"/>
                <w:szCs w:val="24"/>
              </w:rPr>
              <w:t>世纪的公司治理探索》，中国社会科学出版社</w:t>
            </w:r>
            <w:r>
              <w:rPr>
                <w:rFonts w:ascii="Times New Roman" w:hAnsi="Times New Roman"/>
                <w:color w:val="000000" w:themeColor="text1"/>
                <w:szCs w:val="24"/>
              </w:rPr>
              <w:t>1999</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Gary P. Schneider</w:t>
            </w:r>
            <w:r>
              <w:rPr>
                <w:rFonts w:ascii="Times New Roman" w:hAnsi="Times New Roman"/>
                <w:color w:val="000000" w:themeColor="text1"/>
                <w:szCs w:val="24"/>
              </w:rPr>
              <w:t>著：《电子商务》第四版，机械工业出版社</w:t>
            </w:r>
            <w:r>
              <w:rPr>
                <w:rFonts w:ascii="Times New Roman" w:hAnsi="Times New Roman"/>
                <w:color w:val="000000" w:themeColor="text1"/>
                <w:szCs w:val="24"/>
              </w:rPr>
              <w:t>2003</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赛卡瑞安（</w:t>
            </w:r>
            <w:proofErr w:type="spellStart"/>
            <w:r>
              <w:rPr>
                <w:rFonts w:ascii="Times New Roman" w:hAnsi="Times New Roman"/>
                <w:color w:val="000000" w:themeColor="text1"/>
                <w:szCs w:val="24"/>
              </w:rPr>
              <w:t>Sekaran,U</w:t>
            </w:r>
            <w:proofErr w:type="spellEnd"/>
            <w:r>
              <w:rPr>
                <w:rFonts w:ascii="Times New Roman" w:hAnsi="Times New Roman"/>
                <w:color w:val="000000" w:themeColor="text1"/>
                <w:szCs w:val="24"/>
              </w:rPr>
              <w:t>.</w:t>
            </w:r>
            <w:r>
              <w:rPr>
                <w:rFonts w:ascii="Times New Roman" w:hAnsi="Times New Roman"/>
                <w:color w:val="000000" w:themeColor="text1"/>
                <w:szCs w:val="24"/>
              </w:rPr>
              <w:t>）著，祝道松，林家五译：《企业研究方法》（第四版），清华大学出版社</w:t>
            </w:r>
            <w:r>
              <w:rPr>
                <w:rFonts w:ascii="Times New Roman" w:hAnsi="Times New Roman"/>
                <w:color w:val="000000" w:themeColor="text1"/>
                <w:szCs w:val="24"/>
              </w:rPr>
              <w:t>2005</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Donald R. Cooper</w:t>
            </w:r>
            <w:r>
              <w:rPr>
                <w:rFonts w:ascii="Times New Roman" w:hAnsi="Times New Roman"/>
                <w:color w:val="000000" w:themeColor="text1"/>
                <w:szCs w:val="24"/>
              </w:rPr>
              <w:t>，</w:t>
            </w:r>
            <w:r>
              <w:rPr>
                <w:rFonts w:ascii="Times New Roman" w:hAnsi="Times New Roman"/>
                <w:color w:val="000000" w:themeColor="text1"/>
                <w:szCs w:val="24"/>
              </w:rPr>
              <w:t>Pamela S. Schindler</w:t>
            </w:r>
            <w:r>
              <w:rPr>
                <w:rFonts w:ascii="Times New Roman" w:hAnsi="Times New Roman"/>
                <w:color w:val="000000" w:themeColor="text1"/>
                <w:szCs w:val="24"/>
              </w:rPr>
              <w:t>著，《商业研究方法》（第</w:t>
            </w:r>
            <w:r>
              <w:rPr>
                <w:rFonts w:ascii="Times New Roman" w:hAnsi="Times New Roman"/>
                <w:color w:val="000000" w:themeColor="text1"/>
                <w:szCs w:val="24"/>
              </w:rPr>
              <w:t>9</w:t>
            </w:r>
            <w:r>
              <w:rPr>
                <w:rFonts w:ascii="Times New Roman" w:hAnsi="Times New Roman"/>
                <w:color w:val="000000" w:themeColor="text1"/>
                <w:szCs w:val="24"/>
              </w:rPr>
              <w:t>版）（英文版），人民大学出版社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Yin R.</w:t>
            </w:r>
            <w:r>
              <w:rPr>
                <w:rFonts w:ascii="Times New Roman" w:hAnsi="Times New Roman"/>
                <w:color w:val="000000" w:themeColor="text1"/>
                <w:szCs w:val="24"/>
              </w:rPr>
              <w:t>著，周海涛等译</w:t>
            </w:r>
            <w:r>
              <w:rPr>
                <w:rFonts w:ascii="Times New Roman" w:hAnsi="Times New Roman"/>
                <w:color w:val="000000" w:themeColor="text1"/>
                <w:szCs w:val="24"/>
              </w:rPr>
              <w:t>:</w:t>
            </w:r>
            <w:r>
              <w:rPr>
                <w:rFonts w:ascii="Times New Roman" w:hAnsi="Times New Roman"/>
                <w:color w:val="000000" w:themeColor="text1"/>
                <w:szCs w:val="24"/>
              </w:rPr>
              <w:t>《案例研究方法的应用》，重庆大学出版社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proofErr w:type="gramStart"/>
            <w:r>
              <w:rPr>
                <w:rFonts w:ascii="Times New Roman" w:hAnsi="Times New Roman"/>
                <w:color w:val="000000" w:themeColor="text1"/>
                <w:szCs w:val="24"/>
              </w:rPr>
              <w:t>徳</w:t>
            </w:r>
            <w:proofErr w:type="gramEnd"/>
            <w:r>
              <w:rPr>
                <w:rFonts w:ascii="Times New Roman" w:hAnsi="Times New Roman"/>
                <w:color w:val="000000" w:themeColor="text1"/>
                <w:szCs w:val="24"/>
              </w:rPr>
              <w:t>斯</w:t>
            </w:r>
            <w:proofErr w:type="gramStart"/>
            <w:r>
              <w:rPr>
                <w:rFonts w:ascii="Times New Roman" w:hAnsi="Times New Roman"/>
                <w:color w:val="000000" w:themeColor="text1"/>
                <w:szCs w:val="24"/>
              </w:rPr>
              <w:t>靳</w:t>
            </w:r>
            <w:proofErr w:type="gramEnd"/>
            <w:r>
              <w:rPr>
                <w:rFonts w:ascii="Times New Roman" w:hAnsi="Times New Roman"/>
                <w:color w:val="000000" w:themeColor="text1"/>
                <w:szCs w:val="24"/>
              </w:rPr>
              <w:t>，曾湘泉主编：《人力资源管理》第十版，中国人民大学出版社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希夫曼，卡</w:t>
            </w:r>
            <w:proofErr w:type="gramStart"/>
            <w:r>
              <w:rPr>
                <w:rFonts w:ascii="Times New Roman" w:hAnsi="Times New Roman"/>
                <w:color w:val="000000" w:themeColor="text1"/>
                <w:szCs w:val="24"/>
              </w:rPr>
              <w:t>纽</w:t>
            </w:r>
            <w:proofErr w:type="gramEnd"/>
            <w:r>
              <w:rPr>
                <w:rFonts w:ascii="Times New Roman" w:hAnsi="Times New Roman"/>
                <w:color w:val="000000" w:themeColor="text1"/>
                <w:szCs w:val="24"/>
              </w:rPr>
              <w:t>克著，江林译：《消费者行为学》（第</w:t>
            </w:r>
            <w:r>
              <w:rPr>
                <w:rFonts w:ascii="Times New Roman" w:hAnsi="Times New Roman"/>
                <w:color w:val="000000" w:themeColor="text1"/>
                <w:szCs w:val="24"/>
              </w:rPr>
              <w:t>8</w:t>
            </w:r>
            <w:r>
              <w:rPr>
                <w:rFonts w:ascii="Times New Roman" w:hAnsi="Times New Roman"/>
                <w:color w:val="000000" w:themeColor="text1"/>
                <w:szCs w:val="24"/>
              </w:rPr>
              <w:t>版），中国人民大学出版社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AE7AE2" w:rsidRDefault="00AE7AE2" w:rsidP="00AE7AE2">
            <w:pPr>
              <w:numPr>
                <w:ilvl w:val="0"/>
                <w:numId w:val="2"/>
              </w:numPr>
              <w:rPr>
                <w:rFonts w:ascii="Times New Roman" w:hAnsi="Times New Roman"/>
                <w:color w:val="000000" w:themeColor="text1"/>
                <w:szCs w:val="24"/>
              </w:rPr>
            </w:pPr>
            <w:r>
              <w:rPr>
                <w:rFonts w:ascii="Times New Roman" w:hAnsi="Times New Roman"/>
                <w:color w:val="000000" w:themeColor="text1"/>
                <w:szCs w:val="24"/>
              </w:rPr>
              <w:t>达夫特著：《组织理论与设计》（第</w:t>
            </w:r>
            <w:r>
              <w:rPr>
                <w:rFonts w:ascii="Times New Roman" w:hAnsi="Times New Roman"/>
                <w:color w:val="000000" w:themeColor="text1"/>
                <w:szCs w:val="24"/>
              </w:rPr>
              <w:t>10</w:t>
            </w:r>
            <w:r>
              <w:rPr>
                <w:rFonts w:ascii="Times New Roman" w:hAnsi="Times New Roman"/>
                <w:color w:val="000000" w:themeColor="text1"/>
                <w:szCs w:val="24"/>
              </w:rPr>
              <w:t>版），清华大学出版社</w:t>
            </w:r>
            <w:r>
              <w:rPr>
                <w:rFonts w:ascii="Times New Roman" w:hAnsi="Times New Roman"/>
                <w:color w:val="000000" w:themeColor="text1"/>
                <w:szCs w:val="24"/>
              </w:rPr>
              <w:t>2010</w:t>
            </w:r>
            <w:r>
              <w:rPr>
                <w:rFonts w:ascii="Times New Roman" w:hAnsi="Times New Roman"/>
                <w:color w:val="000000" w:themeColor="text1"/>
                <w:szCs w:val="24"/>
              </w:rPr>
              <w:t>年版。</w:t>
            </w:r>
          </w:p>
          <w:p w:rsidR="00AE7AE2" w:rsidRDefault="00AE7AE2" w:rsidP="008C702D">
            <w:pPr>
              <w:spacing w:line="240" w:lineRule="atLeast"/>
              <w:jc w:val="left"/>
              <w:rPr>
                <w:rFonts w:ascii="Times New Roman" w:eastAsia="仿宋" w:hAnsi="Times New Roman"/>
                <w:color w:val="000000" w:themeColor="text1"/>
              </w:rPr>
            </w:pPr>
          </w:p>
        </w:tc>
      </w:tr>
    </w:tbl>
    <w:p w:rsidR="00AE7AE2" w:rsidRDefault="00AE7AE2" w:rsidP="00AE7AE2">
      <w:pPr>
        <w:adjustRightInd w:val="0"/>
        <w:snapToGrid w:val="0"/>
        <w:spacing w:line="480" w:lineRule="auto"/>
        <w:ind w:right="840" w:firstLineChars="1150" w:firstLine="3220"/>
        <w:jc w:val="right"/>
        <w:rPr>
          <w:rFonts w:ascii="Times New Roman" w:eastAsia="黑体" w:hAnsi="Times New Roman"/>
          <w:color w:val="000000" w:themeColor="text1"/>
        </w:rPr>
      </w:pPr>
      <w:r>
        <w:rPr>
          <w:rFonts w:ascii="Times New Roman" w:hAnsi="Times New Roman"/>
          <w:color w:val="000000" w:themeColor="text1"/>
          <w:sz w:val="28"/>
          <w:szCs w:val="28"/>
        </w:rPr>
        <w:lastRenderedPageBreak/>
        <w:t>学位</w:t>
      </w:r>
      <w:proofErr w:type="gramStart"/>
      <w:r>
        <w:rPr>
          <w:rFonts w:ascii="Times New Roman" w:hAnsi="Times New Roman"/>
          <w:color w:val="000000" w:themeColor="text1"/>
          <w:sz w:val="28"/>
          <w:szCs w:val="28"/>
        </w:rPr>
        <w:t>评定分</w:t>
      </w:r>
      <w:proofErr w:type="gramEnd"/>
      <w:r>
        <w:rPr>
          <w:rFonts w:ascii="Times New Roman" w:hAnsi="Times New Roman"/>
          <w:color w:val="000000" w:themeColor="text1"/>
          <w:sz w:val="28"/>
          <w:szCs w:val="28"/>
        </w:rPr>
        <w:t>委员会主任签字：</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年</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月</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日</w:t>
      </w:r>
    </w:p>
    <w:p w:rsidR="00AE7AE2" w:rsidRDefault="00AE7AE2" w:rsidP="00AE7AE2">
      <w:pPr>
        <w:spacing w:line="360" w:lineRule="auto"/>
        <w:ind w:left="482"/>
        <w:rPr>
          <w:rFonts w:ascii="Times New Roman" w:eastAsia="黑体" w:hAnsi="Times New Roman"/>
          <w:color w:val="000000" w:themeColor="text1"/>
        </w:rPr>
        <w:sectPr w:rsidR="00AE7AE2">
          <w:pgSz w:w="11906" w:h="16838"/>
          <w:pgMar w:top="1440" w:right="1797" w:bottom="1440" w:left="1797" w:header="851" w:footer="992" w:gutter="0"/>
          <w:cols w:space="425"/>
          <w:docGrid w:type="lines" w:linePitch="312"/>
        </w:sectPr>
      </w:pPr>
    </w:p>
    <w:p w:rsidR="00AE7AE2" w:rsidRDefault="00AE7AE2" w:rsidP="00AE7AE2">
      <w:pPr>
        <w:spacing w:line="360" w:lineRule="auto"/>
        <w:ind w:left="482"/>
        <w:rPr>
          <w:rFonts w:ascii="Times New Roman" w:hAnsi="Times New Roman"/>
          <w:color w:val="000000" w:themeColor="text1"/>
        </w:rPr>
      </w:pPr>
      <w:r>
        <w:rPr>
          <w:rFonts w:ascii="Times New Roman" w:eastAsia="黑体" w:hAnsi="Times New Roman"/>
          <w:color w:val="000000" w:themeColor="text1"/>
        </w:rPr>
        <w:lastRenderedPageBreak/>
        <w:t>五、课程设置、教学计划及学分要求</w:t>
      </w:r>
    </w:p>
    <w:p w:rsidR="00AE7AE2" w:rsidRDefault="00AE7AE2" w:rsidP="00AE7AE2">
      <w:pPr>
        <w:jc w:val="center"/>
        <w:rPr>
          <w:rFonts w:ascii="Times New Roman" w:eastAsia="黑体" w:hAnsi="Times New Roman"/>
          <w:color w:val="000000" w:themeColor="text1"/>
        </w:rPr>
      </w:pPr>
    </w:p>
    <w:p w:rsidR="00AE7AE2" w:rsidRDefault="00AE7AE2" w:rsidP="00AE7AE2">
      <w:pPr>
        <w:jc w:val="center"/>
        <w:rPr>
          <w:rFonts w:ascii="Times New Roman" w:eastAsia="黑体" w:hAnsi="Times New Roman"/>
          <w:color w:val="000000" w:themeColor="text1"/>
        </w:rPr>
      </w:pPr>
      <w:r>
        <w:rPr>
          <w:rFonts w:ascii="Times New Roman" w:eastAsia="黑体" w:hAnsi="Times New Roman"/>
          <w:color w:val="000000" w:themeColor="text1"/>
        </w:rPr>
        <w:t>法商</w:t>
      </w:r>
      <w:proofErr w:type="gramStart"/>
      <w:r>
        <w:rPr>
          <w:rFonts w:ascii="Times New Roman" w:eastAsia="黑体" w:hAnsi="Times New Roman"/>
          <w:color w:val="000000" w:themeColor="text1"/>
        </w:rPr>
        <w:t>商</w:t>
      </w:r>
      <w:proofErr w:type="gramEnd"/>
      <w:r>
        <w:rPr>
          <w:rFonts w:ascii="Times New Roman" w:eastAsia="黑体" w:hAnsi="Times New Roman"/>
          <w:color w:val="000000" w:themeColor="text1"/>
        </w:rPr>
        <w:t>管理专业攻读硕士学位研究生</w:t>
      </w:r>
    </w:p>
    <w:p w:rsidR="00AE7AE2" w:rsidRDefault="00AE7AE2" w:rsidP="00AE7AE2">
      <w:pPr>
        <w:jc w:val="center"/>
        <w:rPr>
          <w:rFonts w:ascii="Times New Roman" w:eastAsia="黑体" w:hAnsi="Times New Roman"/>
          <w:color w:val="000000" w:themeColor="text1"/>
        </w:rPr>
      </w:pPr>
      <w:r>
        <w:rPr>
          <w:rFonts w:ascii="Times New Roman" w:eastAsia="黑体" w:hAnsi="Times New Roman"/>
          <w:color w:val="000000" w:themeColor="text1"/>
        </w:rPr>
        <w:t>课程设置、教学计划及学分要求一览表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4"/>
        <w:gridCol w:w="2096"/>
        <w:gridCol w:w="1341"/>
        <w:gridCol w:w="2282"/>
        <w:gridCol w:w="669"/>
        <w:gridCol w:w="777"/>
        <w:gridCol w:w="777"/>
        <w:gridCol w:w="765"/>
        <w:gridCol w:w="765"/>
        <w:gridCol w:w="1857"/>
      </w:tblGrid>
      <w:tr w:rsidR="00AE7AE2" w:rsidTr="008C702D">
        <w:trPr>
          <w:trHeight w:val="20"/>
          <w:jc w:val="center"/>
        </w:trPr>
        <w:tc>
          <w:tcPr>
            <w:tcW w:w="2845" w:type="dxa"/>
            <w:gridSpan w:val="2"/>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类</w:t>
            </w:r>
            <w:r>
              <w:rPr>
                <w:rFonts w:ascii="Times New Roman" w:eastAsia="黑体" w:hAnsi="Times New Roman"/>
                <w:color w:val="000000" w:themeColor="text1"/>
                <w:szCs w:val="24"/>
              </w:rPr>
              <w:t xml:space="preserve"> </w:t>
            </w:r>
            <w:r>
              <w:rPr>
                <w:rFonts w:ascii="Times New Roman" w:eastAsia="黑体" w:hAnsi="Times New Roman"/>
                <w:color w:val="000000" w:themeColor="text1"/>
                <w:szCs w:val="24"/>
              </w:rPr>
              <w:t>别</w:t>
            </w:r>
          </w:p>
        </w:tc>
        <w:tc>
          <w:tcPr>
            <w:tcW w:w="2096" w:type="dxa"/>
            <w:vAlign w:val="center"/>
          </w:tcPr>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课程名称</w:t>
            </w:r>
          </w:p>
        </w:tc>
        <w:tc>
          <w:tcPr>
            <w:tcW w:w="1341" w:type="dxa"/>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课程门数</w:t>
            </w:r>
          </w:p>
        </w:tc>
        <w:tc>
          <w:tcPr>
            <w:tcW w:w="2282" w:type="dxa"/>
            <w:vAlign w:val="center"/>
          </w:tcPr>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课程代码</w:t>
            </w:r>
          </w:p>
        </w:tc>
        <w:tc>
          <w:tcPr>
            <w:tcW w:w="669" w:type="dxa"/>
            <w:vAlign w:val="center"/>
          </w:tcPr>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学分</w:t>
            </w:r>
          </w:p>
        </w:tc>
        <w:tc>
          <w:tcPr>
            <w:tcW w:w="777" w:type="dxa"/>
            <w:vAlign w:val="center"/>
          </w:tcPr>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学时</w:t>
            </w:r>
          </w:p>
        </w:tc>
        <w:tc>
          <w:tcPr>
            <w:tcW w:w="777" w:type="dxa"/>
            <w:vAlign w:val="center"/>
          </w:tcPr>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开课</w:t>
            </w:r>
          </w:p>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学期</w:t>
            </w:r>
          </w:p>
        </w:tc>
        <w:tc>
          <w:tcPr>
            <w:tcW w:w="765" w:type="dxa"/>
            <w:vAlign w:val="center"/>
          </w:tcPr>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教学</w:t>
            </w:r>
          </w:p>
          <w:p w:rsidR="00AE7AE2" w:rsidRDefault="00AE7AE2" w:rsidP="008C702D">
            <w:pPr>
              <w:ind w:left="-57" w:right="-57"/>
              <w:jc w:val="center"/>
              <w:rPr>
                <w:rFonts w:ascii="Times New Roman" w:eastAsia="黑体" w:hAnsi="Times New Roman"/>
                <w:color w:val="000000" w:themeColor="text1"/>
                <w:szCs w:val="24"/>
              </w:rPr>
            </w:pPr>
            <w:r>
              <w:rPr>
                <w:rFonts w:ascii="Times New Roman" w:eastAsia="黑体" w:hAnsi="Times New Roman"/>
                <w:color w:val="000000" w:themeColor="text1"/>
                <w:szCs w:val="24"/>
              </w:rPr>
              <w:t>方式</w:t>
            </w:r>
          </w:p>
        </w:tc>
        <w:tc>
          <w:tcPr>
            <w:tcW w:w="765" w:type="dxa"/>
            <w:vAlign w:val="center"/>
          </w:tcPr>
          <w:p w:rsidR="00AE7AE2" w:rsidRDefault="00AE7AE2" w:rsidP="008C702D">
            <w:pPr>
              <w:ind w:left="-57" w:right="-57"/>
              <w:jc w:val="center"/>
              <w:rPr>
                <w:rFonts w:ascii="Times New Roman" w:eastAsia="黑体" w:hAnsi="Times New Roman"/>
                <w:color w:val="000000" w:themeColor="text1"/>
                <w:kern w:val="24"/>
                <w:szCs w:val="24"/>
              </w:rPr>
            </w:pPr>
            <w:r>
              <w:rPr>
                <w:rFonts w:ascii="Times New Roman" w:eastAsia="黑体" w:hAnsi="Times New Roman"/>
                <w:color w:val="000000" w:themeColor="text1"/>
                <w:kern w:val="24"/>
                <w:szCs w:val="24"/>
              </w:rPr>
              <w:t>考核</w:t>
            </w:r>
          </w:p>
          <w:p w:rsidR="00AE7AE2" w:rsidRDefault="00AE7AE2" w:rsidP="008C702D">
            <w:pPr>
              <w:ind w:left="-57" w:right="-57"/>
              <w:jc w:val="center"/>
              <w:rPr>
                <w:rFonts w:ascii="Times New Roman" w:eastAsia="黑体" w:hAnsi="Times New Roman"/>
                <w:color w:val="000000" w:themeColor="text1"/>
                <w:kern w:val="24"/>
                <w:szCs w:val="24"/>
              </w:rPr>
            </w:pPr>
            <w:r>
              <w:rPr>
                <w:rFonts w:ascii="Times New Roman" w:eastAsia="黑体" w:hAnsi="Times New Roman"/>
                <w:color w:val="000000" w:themeColor="text1"/>
                <w:kern w:val="24"/>
                <w:szCs w:val="24"/>
              </w:rPr>
              <w:t>方式</w:t>
            </w:r>
          </w:p>
        </w:tc>
        <w:tc>
          <w:tcPr>
            <w:tcW w:w="1857" w:type="dxa"/>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备</w:t>
            </w:r>
            <w:r>
              <w:rPr>
                <w:rFonts w:ascii="Times New Roman" w:eastAsia="黑体" w:hAnsi="Times New Roman"/>
                <w:color w:val="000000" w:themeColor="text1"/>
                <w:szCs w:val="24"/>
              </w:rPr>
              <w:t xml:space="preserve">  </w:t>
            </w:r>
            <w:r>
              <w:rPr>
                <w:rFonts w:ascii="Times New Roman" w:eastAsia="黑体" w:hAnsi="Times New Roman"/>
                <w:color w:val="000000" w:themeColor="text1"/>
                <w:szCs w:val="24"/>
              </w:rPr>
              <w:t>注</w:t>
            </w:r>
          </w:p>
        </w:tc>
      </w:tr>
      <w:tr w:rsidR="00AE7AE2" w:rsidTr="008C702D">
        <w:trPr>
          <w:cantSplit/>
          <w:trHeight w:val="20"/>
          <w:jc w:val="center"/>
        </w:trPr>
        <w:tc>
          <w:tcPr>
            <w:tcW w:w="1421" w:type="dxa"/>
            <w:vMerge w:val="restart"/>
            <w:textDirection w:val="tbRlV"/>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必修课程</w:t>
            </w:r>
          </w:p>
        </w:tc>
        <w:tc>
          <w:tcPr>
            <w:tcW w:w="1424" w:type="dxa"/>
            <w:vMerge w:val="restart"/>
            <w:textDirection w:val="tbRlV"/>
            <w:vAlign w:val="center"/>
          </w:tcPr>
          <w:p w:rsidR="00AE7AE2" w:rsidRDefault="00AE7AE2" w:rsidP="008C702D">
            <w:pPr>
              <w:ind w:left="113" w:right="113"/>
              <w:jc w:val="center"/>
              <w:rPr>
                <w:rFonts w:ascii="Times New Roman" w:eastAsia="黑体" w:hAnsi="Times New Roman"/>
                <w:color w:val="000000" w:themeColor="text1"/>
                <w:szCs w:val="24"/>
              </w:rPr>
            </w:pPr>
            <w:r>
              <w:rPr>
                <w:rFonts w:ascii="Times New Roman" w:eastAsia="黑体" w:hAnsi="Times New Roman"/>
                <w:color w:val="000000" w:themeColor="text1"/>
                <w:szCs w:val="24"/>
              </w:rPr>
              <w:t>学位公共课</w:t>
            </w:r>
          </w:p>
        </w:tc>
        <w:tc>
          <w:tcPr>
            <w:tcW w:w="2096" w:type="dxa"/>
            <w:vAlign w:val="center"/>
          </w:tcPr>
          <w:p w:rsidR="00AE7AE2" w:rsidRDefault="00AE7AE2" w:rsidP="008C702D">
            <w:pPr>
              <w:adjustRightIn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中国特色社会主义理论与实践</w:t>
            </w:r>
          </w:p>
        </w:tc>
        <w:tc>
          <w:tcPr>
            <w:tcW w:w="1341" w:type="dxa"/>
            <w:tcBorders>
              <w:bottom w:val="single" w:sz="4" w:space="0" w:color="auto"/>
            </w:tcBorders>
            <w:vAlign w:val="center"/>
          </w:tcPr>
          <w:p w:rsidR="00AE7AE2" w:rsidRDefault="00AE7AE2" w:rsidP="008C702D">
            <w:pPr>
              <w:adjustRightIn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77"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77"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65"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65"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857" w:type="dxa"/>
            <w:tcBorders>
              <w:bottom w:val="single" w:sz="4" w:space="0" w:color="auto"/>
            </w:tcBorders>
            <w:vAlign w:val="center"/>
          </w:tcPr>
          <w:p w:rsidR="00AE7AE2" w:rsidRDefault="00AE7AE2" w:rsidP="008C702D">
            <w:pPr>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textDirection w:val="tbRlV"/>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马克思主义与社会科学方法论</w:t>
            </w:r>
          </w:p>
        </w:tc>
        <w:tc>
          <w:tcPr>
            <w:tcW w:w="1341"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77"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18</w:t>
            </w:r>
          </w:p>
        </w:tc>
        <w:tc>
          <w:tcPr>
            <w:tcW w:w="777"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65" w:type="dxa"/>
            <w:tcBorders>
              <w:bottom w:val="single" w:sz="4" w:space="0" w:color="auto"/>
            </w:tcBorders>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65"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857" w:type="dxa"/>
            <w:tcBorders>
              <w:bottom w:val="single" w:sz="4" w:space="0" w:color="auto"/>
            </w:tcBorders>
            <w:vAlign w:val="center"/>
          </w:tcPr>
          <w:p w:rsidR="00AE7AE2" w:rsidRDefault="00AE7AE2" w:rsidP="008C702D">
            <w:pPr>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textDirection w:val="tbRlV"/>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基础外语</w:t>
            </w:r>
          </w:p>
        </w:tc>
        <w:tc>
          <w:tcPr>
            <w:tcW w:w="1341" w:type="dxa"/>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857" w:type="dxa"/>
            <w:vAlign w:val="center"/>
          </w:tcPr>
          <w:p w:rsidR="00AE7AE2" w:rsidRDefault="00AE7AE2" w:rsidP="008C702D">
            <w:pPr>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textDirection w:val="tbRlV"/>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管理学方法论</w:t>
            </w:r>
          </w:p>
        </w:tc>
        <w:tc>
          <w:tcPr>
            <w:tcW w:w="1341" w:type="dxa"/>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857" w:type="dxa"/>
            <w:vAlign w:val="center"/>
          </w:tcPr>
          <w:p w:rsidR="00AE7AE2" w:rsidRDefault="00AE7AE2" w:rsidP="008C702D">
            <w:pPr>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学位基础课</w:t>
            </w:r>
          </w:p>
        </w:tc>
        <w:tc>
          <w:tcPr>
            <w:tcW w:w="2096"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rPr>
              <w:t>管理经济学</w:t>
            </w:r>
          </w:p>
        </w:tc>
        <w:tc>
          <w:tcPr>
            <w:tcW w:w="1341" w:type="dxa"/>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tc>
        <w:tc>
          <w:tcPr>
            <w:tcW w:w="777" w:type="dxa"/>
            <w:vAlign w:val="center"/>
          </w:tcPr>
          <w:p w:rsidR="00AE7AE2" w:rsidRDefault="00AE7AE2" w:rsidP="008C702D">
            <w:pPr>
              <w:ind w:leftChars="-27" w:left="55" w:right="-57" w:hangingChars="50" w:hanging="120"/>
              <w:jc w:val="center"/>
              <w:rPr>
                <w:rFonts w:ascii="Times New Roman" w:eastAsia="仿宋" w:hAnsi="Times New Roman"/>
                <w:color w:val="000000" w:themeColor="text1"/>
              </w:rPr>
            </w:pPr>
            <w:r>
              <w:rPr>
                <w:rFonts w:ascii="Times New Roman" w:eastAsia="仿宋" w:hAnsi="Times New Roman"/>
                <w:color w:val="000000" w:themeColor="text1"/>
              </w:rPr>
              <w:t>1</w:t>
            </w:r>
          </w:p>
        </w:tc>
        <w:tc>
          <w:tcPr>
            <w:tcW w:w="765" w:type="dxa"/>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讲授</w:t>
            </w: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857" w:type="dxa"/>
            <w:vAlign w:val="center"/>
          </w:tcPr>
          <w:p w:rsidR="00AE7AE2" w:rsidRDefault="00AE7AE2" w:rsidP="008C702D">
            <w:pPr>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shd w:val="clear" w:color="auto" w:fill="auto"/>
            <w:vAlign w:val="center"/>
          </w:tcPr>
          <w:p w:rsidR="00AE7AE2" w:rsidRDefault="00AE7AE2" w:rsidP="008C702D">
            <w:pPr>
              <w:ind w:left="113"/>
              <w:jc w:val="center"/>
              <w:rPr>
                <w:rFonts w:ascii="Times New Roman" w:eastAsia="仿宋" w:hAnsi="Times New Roman"/>
                <w:color w:val="000000" w:themeColor="text1"/>
                <w:szCs w:val="24"/>
              </w:rPr>
            </w:pPr>
          </w:p>
        </w:tc>
        <w:tc>
          <w:tcPr>
            <w:tcW w:w="1424" w:type="dxa"/>
            <w:vMerge w:val="restart"/>
            <w:shd w:val="clear" w:color="auto" w:fill="auto"/>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学位专业课</w:t>
            </w:r>
          </w:p>
        </w:tc>
        <w:tc>
          <w:tcPr>
            <w:tcW w:w="2096" w:type="dxa"/>
            <w:shd w:val="clear" w:color="auto" w:fill="auto"/>
            <w:vAlign w:val="center"/>
          </w:tcPr>
          <w:p w:rsidR="00AE7AE2" w:rsidRDefault="00AE7AE2" w:rsidP="008C702D">
            <w:pPr>
              <w:ind w:left="-57" w:right="-57"/>
              <w:rPr>
                <w:rFonts w:ascii="Times New Roman" w:eastAsia="仿宋" w:hAnsi="Times New Roman"/>
                <w:color w:val="000000" w:themeColor="text1"/>
              </w:rPr>
            </w:pPr>
            <w:r>
              <w:rPr>
                <w:rFonts w:ascii="Times New Roman" w:eastAsia="仿宋" w:hAnsi="Times New Roman"/>
                <w:color w:val="000000" w:themeColor="text1"/>
              </w:rPr>
              <w:t>现代营销管理</w:t>
            </w:r>
          </w:p>
        </w:tc>
        <w:tc>
          <w:tcPr>
            <w:tcW w:w="1341" w:type="dxa"/>
            <w:shd w:val="clear" w:color="auto" w:fill="auto"/>
            <w:vAlign w:val="center"/>
          </w:tcPr>
          <w:p w:rsidR="00AE7AE2" w:rsidRDefault="00AE7AE2" w:rsidP="008C702D">
            <w:pPr>
              <w:jc w:val="center"/>
              <w:rPr>
                <w:rFonts w:ascii="Times New Roman" w:eastAsia="仿宋" w:hAnsi="Times New Roman"/>
                <w:color w:val="000000" w:themeColor="text1"/>
              </w:rPr>
            </w:pPr>
            <w:r>
              <w:rPr>
                <w:rFonts w:ascii="Times New Roman" w:eastAsia="仿宋" w:hAnsi="Times New Roman"/>
                <w:color w:val="000000" w:themeColor="text1"/>
              </w:rPr>
              <w:t>1</w:t>
            </w: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3</w:t>
            </w:r>
          </w:p>
        </w:tc>
        <w:tc>
          <w:tcPr>
            <w:tcW w:w="777"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54</w:t>
            </w:r>
          </w:p>
        </w:tc>
        <w:tc>
          <w:tcPr>
            <w:tcW w:w="777"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2</w:t>
            </w:r>
          </w:p>
        </w:tc>
        <w:tc>
          <w:tcPr>
            <w:tcW w:w="765"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讲授</w:t>
            </w:r>
          </w:p>
        </w:tc>
        <w:tc>
          <w:tcPr>
            <w:tcW w:w="765" w:type="dxa"/>
            <w:vAlign w:val="center"/>
          </w:tcPr>
          <w:p w:rsidR="00AE7AE2" w:rsidRDefault="00AE7AE2" w:rsidP="007441EF">
            <w:pP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857" w:type="dxa"/>
            <w:vMerge w:val="restart"/>
            <w:vAlign w:val="center"/>
          </w:tcPr>
          <w:p w:rsidR="00AE7AE2" w:rsidRDefault="00AE7AE2" w:rsidP="008C702D">
            <w:pPr>
              <w:adjustRightInd w:val="0"/>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shd w:val="clear" w:color="auto" w:fill="auto"/>
            <w:vAlign w:val="center"/>
          </w:tcPr>
          <w:p w:rsidR="00AE7AE2" w:rsidRDefault="00AE7AE2" w:rsidP="008C702D">
            <w:pPr>
              <w:ind w:left="113"/>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2096" w:type="dxa"/>
            <w:shd w:val="clear" w:color="auto" w:fill="auto"/>
            <w:vAlign w:val="center"/>
          </w:tcPr>
          <w:p w:rsidR="00AE7AE2" w:rsidRDefault="00AE7AE2" w:rsidP="008C702D">
            <w:pPr>
              <w:ind w:left="-57" w:right="-57"/>
              <w:rPr>
                <w:rFonts w:ascii="Times New Roman" w:eastAsia="仿宋" w:hAnsi="Times New Roman"/>
                <w:color w:val="000000" w:themeColor="text1"/>
              </w:rPr>
            </w:pPr>
            <w:r>
              <w:rPr>
                <w:rFonts w:ascii="Times New Roman" w:eastAsia="仿宋" w:hAnsi="Times New Roman"/>
                <w:color w:val="000000" w:themeColor="text1"/>
              </w:rPr>
              <w:t>人力资源管理</w:t>
            </w:r>
          </w:p>
        </w:tc>
        <w:tc>
          <w:tcPr>
            <w:tcW w:w="1341" w:type="dxa"/>
            <w:shd w:val="clear" w:color="auto" w:fill="auto"/>
            <w:vAlign w:val="center"/>
          </w:tcPr>
          <w:p w:rsidR="00AE7AE2" w:rsidRDefault="00AE7AE2" w:rsidP="008C702D">
            <w:pPr>
              <w:jc w:val="center"/>
              <w:rPr>
                <w:rFonts w:ascii="Times New Roman" w:eastAsia="仿宋" w:hAnsi="Times New Roman"/>
                <w:color w:val="000000" w:themeColor="text1"/>
              </w:rPr>
            </w:pPr>
            <w:r>
              <w:rPr>
                <w:rFonts w:ascii="Times New Roman" w:eastAsia="仿宋" w:hAnsi="Times New Roman"/>
                <w:color w:val="000000" w:themeColor="text1"/>
              </w:rPr>
              <w:t>1</w:t>
            </w: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3</w:t>
            </w:r>
          </w:p>
        </w:tc>
        <w:tc>
          <w:tcPr>
            <w:tcW w:w="777"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54</w:t>
            </w:r>
          </w:p>
        </w:tc>
        <w:tc>
          <w:tcPr>
            <w:tcW w:w="777"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2</w:t>
            </w:r>
          </w:p>
        </w:tc>
        <w:tc>
          <w:tcPr>
            <w:tcW w:w="765"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讲授</w:t>
            </w: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tcBorders>
              <w:bottom w:val="single" w:sz="4" w:space="0" w:color="auto"/>
            </w:tcBorders>
            <w:shd w:val="clear" w:color="auto" w:fill="auto"/>
            <w:vAlign w:val="center"/>
          </w:tcPr>
          <w:p w:rsidR="00AE7AE2" w:rsidRDefault="00AE7AE2" w:rsidP="008C702D">
            <w:pPr>
              <w:ind w:left="113"/>
              <w:jc w:val="center"/>
              <w:rPr>
                <w:rFonts w:ascii="Times New Roman" w:eastAsia="仿宋" w:hAnsi="Times New Roman"/>
                <w:color w:val="000000" w:themeColor="text1"/>
                <w:szCs w:val="24"/>
              </w:rPr>
            </w:pPr>
          </w:p>
        </w:tc>
        <w:tc>
          <w:tcPr>
            <w:tcW w:w="1424" w:type="dxa"/>
            <w:vMerge/>
            <w:tcBorders>
              <w:bottom w:val="single" w:sz="4" w:space="0" w:color="auto"/>
            </w:tcBorders>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2096" w:type="dxa"/>
            <w:tcBorders>
              <w:bottom w:val="single" w:sz="4" w:space="0" w:color="auto"/>
            </w:tcBorders>
            <w:shd w:val="clear" w:color="auto" w:fill="auto"/>
            <w:vAlign w:val="center"/>
          </w:tcPr>
          <w:p w:rsidR="00AE7AE2" w:rsidRDefault="00AE7AE2" w:rsidP="008C702D">
            <w:pPr>
              <w:ind w:left="-57" w:right="-57"/>
              <w:rPr>
                <w:rFonts w:ascii="Times New Roman" w:eastAsia="仿宋" w:hAnsi="Times New Roman"/>
                <w:color w:val="000000" w:themeColor="text1"/>
              </w:rPr>
            </w:pPr>
            <w:r>
              <w:rPr>
                <w:rFonts w:ascii="Times New Roman" w:eastAsia="仿宋" w:hAnsi="Times New Roman"/>
                <w:color w:val="000000" w:themeColor="text1"/>
              </w:rPr>
              <w:t>企业战略管理</w:t>
            </w:r>
          </w:p>
        </w:tc>
        <w:tc>
          <w:tcPr>
            <w:tcW w:w="1341" w:type="dxa"/>
            <w:tcBorders>
              <w:bottom w:val="single" w:sz="4" w:space="0" w:color="auto"/>
            </w:tcBorders>
            <w:shd w:val="clear" w:color="auto" w:fill="auto"/>
            <w:vAlign w:val="center"/>
          </w:tcPr>
          <w:p w:rsidR="00AE7AE2" w:rsidRDefault="00AE7AE2" w:rsidP="008C702D">
            <w:pPr>
              <w:jc w:val="center"/>
              <w:rPr>
                <w:rFonts w:ascii="Times New Roman" w:eastAsia="仿宋" w:hAnsi="Times New Roman"/>
                <w:color w:val="000000" w:themeColor="text1"/>
              </w:rPr>
            </w:pPr>
            <w:r>
              <w:rPr>
                <w:rFonts w:ascii="Times New Roman" w:eastAsia="仿宋" w:hAnsi="Times New Roman"/>
                <w:color w:val="000000" w:themeColor="text1"/>
              </w:rPr>
              <w:t>1</w:t>
            </w:r>
          </w:p>
        </w:tc>
        <w:tc>
          <w:tcPr>
            <w:tcW w:w="2282" w:type="dxa"/>
            <w:tcBorders>
              <w:bottom w:val="single" w:sz="4" w:space="0" w:color="auto"/>
            </w:tcBorders>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tcBorders>
              <w:bottom w:val="single" w:sz="4" w:space="0" w:color="auto"/>
            </w:tcBorders>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3</w:t>
            </w:r>
          </w:p>
        </w:tc>
        <w:tc>
          <w:tcPr>
            <w:tcW w:w="777" w:type="dxa"/>
            <w:tcBorders>
              <w:bottom w:val="single" w:sz="4" w:space="0" w:color="auto"/>
            </w:tcBorders>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54</w:t>
            </w:r>
          </w:p>
        </w:tc>
        <w:tc>
          <w:tcPr>
            <w:tcW w:w="777" w:type="dxa"/>
            <w:tcBorders>
              <w:bottom w:val="single" w:sz="4" w:space="0" w:color="auto"/>
            </w:tcBorders>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3</w:t>
            </w:r>
          </w:p>
        </w:tc>
        <w:tc>
          <w:tcPr>
            <w:tcW w:w="765" w:type="dxa"/>
            <w:tcBorders>
              <w:bottom w:val="single" w:sz="4" w:space="0" w:color="auto"/>
            </w:tcBorders>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讲授</w:t>
            </w:r>
          </w:p>
        </w:tc>
        <w:tc>
          <w:tcPr>
            <w:tcW w:w="765" w:type="dxa"/>
            <w:tcBorders>
              <w:bottom w:val="single" w:sz="4" w:space="0" w:color="auto"/>
            </w:tcBorders>
            <w:vAlign w:val="center"/>
          </w:tcPr>
          <w:p w:rsidR="00AE7AE2" w:rsidRDefault="00AE7AE2" w:rsidP="008C702D">
            <w:pPr>
              <w:ind w:left="-57" w:right="-57"/>
              <w:jc w:val="center"/>
              <w:rPr>
                <w:rFonts w:ascii="Times New Roman" w:eastAsia="仿宋" w:hAnsi="Times New Roman"/>
                <w:color w:val="000000" w:themeColor="text1"/>
                <w:szCs w:val="24"/>
              </w:rPr>
            </w:pPr>
          </w:p>
        </w:tc>
        <w:tc>
          <w:tcPr>
            <w:tcW w:w="1857" w:type="dxa"/>
            <w:vMerge/>
            <w:tcBorders>
              <w:bottom w:val="single" w:sz="4" w:space="0" w:color="auto"/>
            </w:tcBorders>
            <w:vAlign w:val="center"/>
          </w:tcPr>
          <w:p w:rsidR="00AE7AE2" w:rsidRDefault="00AE7AE2" w:rsidP="008C702D">
            <w:pPr>
              <w:adjustRightInd w:val="0"/>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restart"/>
            <w:shd w:val="clear" w:color="auto" w:fill="auto"/>
            <w:textDirection w:val="tbRlV"/>
            <w:vAlign w:val="center"/>
          </w:tcPr>
          <w:p w:rsidR="00AE7AE2" w:rsidRDefault="00AE7AE2"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选修课程</w:t>
            </w:r>
          </w:p>
        </w:tc>
        <w:tc>
          <w:tcPr>
            <w:tcW w:w="1424" w:type="dxa"/>
            <w:vMerge w:val="restart"/>
            <w:shd w:val="clear" w:color="auto" w:fill="auto"/>
            <w:vAlign w:val="center"/>
          </w:tcPr>
          <w:p w:rsidR="00AE7AE2" w:rsidRDefault="00AE7AE2" w:rsidP="008C702D">
            <w:pPr>
              <w:ind w:leftChars="-27" w:left="-65" w:right="-57"/>
              <w:jc w:val="center"/>
              <w:rPr>
                <w:rFonts w:ascii="Times New Roman" w:eastAsia="黑体" w:hAnsi="Times New Roman"/>
                <w:color w:val="000000" w:themeColor="text1"/>
                <w:szCs w:val="24"/>
              </w:rPr>
            </w:pPr>
            <w:r>
              <w:rPr>
                <w:rFonts w:ascii="Times New Roman" w:eastAsia="黑体" w:hAnsi="Times New Roman"/>
                <w:color w:val="000000" w:themeColor="text1"/>
                <w:spacing w:val="-8"/>
                <w:szCs w:val="24"/>
              </w:rPr>
              <w:t>专业限选课</w:t>
            </w: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spacing w:val="-8"/>
              </w:rPr>
            </w:pPr>
            <w:r>
              <w:rPr>
                <w:rFonts w:ascii="Times New Roman" w:eastAsia="仿宋" w:hAnsi="Times New Roman"/>
                <w:color w:val="000000" w:themeColor="text1"/>
                <w:spacing w:val="-8"/>
              </w:rPr>
              <w:t>法</w:t>
            </w:r>
            <w:proofErr w:type="gramStart"/>
            <w:r>
              <w:rPr>
                <w:rFonts w:ascii="Times New Roman" w:eastAsia="仿宋" w:hAnsi="Times New Roman"/>
                <w:color w:val="000000" w:themeColor="text1"/>
                <w:spacing w:val="-8"/>
              </w:rPr>
              <w:t>商管理</w:t>
            </w:r>
            <w:proofErr w:type="gramEnd"/>
            <w:r>
              <w:rPr>
                <w:rFonts w:ascii="Times New Roman" w:eastAsia="仿宋" w:hAnsi="Times New Roman"/>
                <w:color w:val="000000" w:themeColor="text1"/>
                <w:spacing w:val="-8"/>
              </w:rPr>
              <w:t>问题研究</w:t>
            </w:r>
          </w:p>
        </w:tc>
        <w:tc>
          <w:tcPr>
            <w:tcW w:w="1341" w:type="dxa"/>
            <w:shd w:val="clear" w:color="auto" w:fill="auto"/>
            <w:vAlign w:val="center"/>
          </w:tcPr>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2</w:t>
            </w:r>
          </w:p>
        </w:tc>
        <w:tc>
          <w:tcPr>
            <w:tcW w:w="777"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36</w:t>
            </w:r>
          </w:p>
        </w:tc>
        <w:tc>
          <w:tcPr>
            <w:tcW w:w="777" w:type="dxa"/>
            <w:shd w:val="clear" w:color="auto" w:fill="auto"/>
            <w:vAlign w:val="center"/>
          </w:tcPr>
          <w:p w:rsidR="00AE7AE2" w:rsidRDefault="00AE7AE2" w:rsidP="008C702D">
            <w:pPr>
              <w:ind w:right="-57"/>
              <w:jc w:val="center"/>
              <w:rPr>
                <w:rFonts w:ascii="Times New Roman" w:eastAsia="仿宋" w:hAnsi="Times New Roman"/>
                <w:color w:val="000000" w:themeColor="text1"/>
              </w:rPr>
            </w:pPr>
          </w:p>
        </w:tc>
        <w:tc>
          <w:tcPr>
            <w:tcW w:w="765"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讲授</w:t>
            </w: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857" w:type="dxa"/>
            <w:vMerge w:val="restart"/>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应开出一定数量的课程供学生选修，每门课程</w:t>
            </w:r>
            <w:r>
              <w:rPr>
                <w:rFonts w:ascii="Times New Roman" w:eastAsia="仿宋" w:hAnsi="Times New Roman"/>
                <w:color w:val="000000" w:themeColor="text1"/>
                <w:szCs w:val="24"/>
              </w:rPr>
              <w:t>36</w:t>
            </w:r>
            <w:r>
              <w:rPr>
                <w:rFonts w:ascii="Times New Roman" w:eastAsia="仿宋" w:hAnsi="Times New Roman"/>
                <w:color w:val="000000" w:themeColor="text1"/>
                <w:szCs w:val="24"/>
              </w:rPr>
              <w:t>课时，</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p w:rsidR="00AE7AE2" w:rsidRDefault="00AE7AE2" w:rsidP="008C702D">
            <w:pPr>
              <w:adjustRightIn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所修选修课学分应不少于</w:t>
            </w:r>
            <w:r>
              <w:rPr>
                <w:rFonts w:ascii="Times New Roman" w:eastAsia="仿宋" w:hAnsi="Times New Roman"/>
                <w:color w:val="000000" w:themeColor="text1"/>
                <w:szCs w:val="24"/>
              </w:rPr>
              <w:t>10</w:t>
            </w:r>
            <w:r>
              <w:rPr>
                <w:rFonts w:ascii="Times New Roman" w:eastAsia="仿宋" w:hAnsi="Times New Roman"/>
                <w:color w:val="000000" w:themeColor="text1"/>
                <w:szCs w:val="24"/>
              </w:rPr>
              <w:t>学分。</w:t>
            </w:r>
          </w:p>
          <w:p w:rsidR="00AE7AE2" w:rsidRDefault="00AE7AE2" w:rsidP="008C702D">
            <w:pPr>
              <w:adjustRightInd w:val="0"/>
              <w:ind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shd w:val="clear" w:color="auto" w:fill="auto"/>
            <w:textDirection w:val="tbRlV"/>
            <w:vAlign w:val="center"/>
          </w:tcPr>
          <w:p w:rsidR="00AE7AE2" w:rsidRDefault="00AE7AE2" w:rsidP="008C702D">
            <w:pPr>
              <w:ind w:left="113" w:right="113"/>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ind w:leftChars="-27" w:left="-65" w:right="-57"/>
              <w:jc w:val="center"/>
              <w:rPr>
                <w:rFonts w:ascii="Times New Roman" w:eastAsia="黑体"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spacing w:val="-8"/>
              </w:rPr>
            </w:pPr>
            <w:r>
              <w:rPr>
                <w:rFonts w:ascii="Times New Roman" w:eastAsia="仿宋" w:hAnsi="Times New Roman"/>
                <w:color w:val="000000" w:themeColor="text1"/>
                <w:spacing w:val="-8"/>
              </w:rPr>
              <w:t>法</w:t>
            </w:r>
            <w:proofErr w:type="gramStart"/>
            <w:r>
              <w:rPr>
                <w:rFonts w:ascii="Times New Roman" w:eastAsia="仿宋" w:hAnsi="Times New Roman"/>
                <w:color w:val="000000" w:themeColor="text1"/>
                <w:spacing w:val="-8"/>
              </w:rPr>
              <w:t>商管理</w:t>
            </w:r>
            <w:proofErr w:type="gramEnd"/>
            <w:r>
              <w:rPr>
                <w:rFonts w:ascii="Times New Roman" w:eastAsia="仿宋" w:hAnsi="Times New Roman"/>
                <w:color w:val="000000" w:themeColor="text1"/>
                <w:spacing w:val="-8"/>
              </w:rPr>
              <w:t>案例研究</w:t>
            </w:r>
          </w:p>
        </w:tc>
        <w:tc>
          <w:tcPr>
            <w:tcW w:w="1341" w:type="dxa"/>
            <w:shd w:val="clear" w:color="auto" w:fill="auto"/>
            <w:vAlign w:val="center"/>
          </w:tcPr>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2</w:t>
            </w:r>
          </w:p>
        </w:tc>
        <w:tc>
          <w:tcPr>
            <w:tcW w:w="777"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36</w:t>
            </w:r>
          </w:p>
        </w:tc>
        <w:tc>
          <w:tcPr>
            <w:tcW w:w="777" w:type="dxa"/>
            <w:shd w:val="clear" w:color="auto" w:fill="auto"/>
            <w:vAlign w:val="center"/>
          </w:tcPr>
          <w:p w:rsidR="00AE7AE2" w:rsidRDefault="00AE7AE2" w:rsidP="008C702D">
            <w:pPr>
              <w:ind w:right="-57"/>
              <w:jc w:val="center"/>
              <w:rPr>
                <w:rFonts w:ascii="Times New Roman" w:eastAsia="仿宋" w:hAnsi="Times New Roman"/>
                <w:color w:val="000000" w:themeColor="text1"/>
              </w:rPr>
            </w:pPr>
          </w:p>
        </w:tc>
        <w:tc>
          <w:tcPr>
            <w:tcW w:w="765" w:type="dxa"/>
            <w:shd w:val="clear" w:color="auto" w:fill="auto"/>
            <w:vAlign w:val="center"/>
          </w:tcPr>
          <w:p w:rsidR="00AE7AE2" w:rsidRDefault="00AE7AE2" w:rsidP="008C702D">
            <w:pPr>
              <w:ind w:left="-57" w:right="-57"/>
              <w:jc w:val="center"/>
              <w:rPr>
                <w:rFonts w:ascii="Times New Roman" w:eastAsia="仿宋" w:hAnsi="Times New Roman"/>
                <w:color w:val="000000" w:themeColor="text1"/>
              </w:rPr>
            </w:pPr>
            <w:r>
              <w:rPr>
                <w:rFonts w:ascii="Times New Roman" w:eastAsia="仿宋" w:hAnsi="Times New Roman"/>
                <w:color w:val="000000" w:themeColor="text1"/>
              </w:rPr>
              <w:t>讲授</w:t>
            </w: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restart"/>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pacing w:val="-8"/>
                <w:szCs w:val="24"/>
              </w:rPr>
              <w:t>任选课</w:t>
            </w:r>
          </w:p>
        </w:tc>
        <w:tc>
          <w:tcPr>
            <w:tcW w:w="2096" w:type="dxa"/>
            <w:vAlign w:val="center"/>
          </w:tcPr>
          <w:p w:rsidR="00AE7AE2" w:rsidRDefault="00AE7AE2" w:rsidP="008C702D">
            <w:pPr>
              <w:rPr>
                <w:rFonts w:ascii="Times New Roman" w:eastAsia="仿宋" w:hAnsi="Times New Roman"/>
                <w:color w:val="000000" w:themeColor="text1"/>
                <w:spacing w:val="-8"/>
              </w:rPr>
            </w:pPr>
            <w:r>
              <w:rPr>
                <w:rFonts w:ascii="Times New Roman" w:eastAsia="仿宋" w:hAnsi="Times New Roman"/>
                <w:color w:val="000000" w:themeColor="text1"/>
                <w:spacing w:val="-8"/>
              </w:rPr>
              <w:t>应用统计分析</w:t>
            </w:r>
          </w:p>
        </w:tc>
        <w:tc>
          <w:tcPr>
            <w:tcW w:w="1341" w:type="dxa"/>
            <w:vAlign w:val="center"/>
          </w:tcPr>
          <w:p w:rsidR="00AE7AE2" w:rsidRDefault="00AE7AE2" w:rsidP="008C702D">
            <w:pPr>
              <w:ind w:right="-57"/>
              <w:rPr>
                <w:rFonts w:ascii="Times New Roman" w:eastAsia="仿宋" w:hAnsi="Times New Roman"/>
                <w:color w:val="000000" w:themeColor="text1"/>
                <w:szCs w:val="24"/>
              </w:rPr>
            </w:pPr>
            <w:r>
              <w:rPr>
                <w:rFonts w:ascii="Times New Roman" w:eastAsia="仿宋" w:hAnsi="Times New Roman"/>
                <w:color w:val="000000" w:themeColor="text1"/>
                <w:szCs w:val="24"/>
              </w:rPr>
              <w:t>任选</w:t>
            </w:r>
            <w:r>
              <w:rPr>
                <w:rFonts w:ascii="Times New Roman" w:eastAsia="仿宋" w:hAnsi="Times New Roman"/>
                <w:color w:val="000000" w:themeColor="text1"/>
                <w:szCs w:val="24"/>
              </w:rPr>
              <w:t>4</w:t>
            </w:r>
            <w:r>
              <w:rPr>
                <w:rFonts w:ascii="Times New Roman" w:eastAsia="仿宋" w:hAnsi="Times New Roman"/>
                <w:color w:val="000000" w:themeColor="text1"/>
                <w:szCs w:val="24"/>
              </w:rPr>
              <w:t>门</w:t>
            </w: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8</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144</w:t>
            </w: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vAlign w:val="center"/>
          </w:tcPr>
          <w:p w:rsidR="00AE7AE2" w:rsidRDefault="00AE7AE2" w:rsidP="008C702D">
            <w:pPr>
              <w:rPr>
                <w:rFonts w:ascii="Times New Roman" w:eastAsia="仿宋" w:hAnsi="Times New Roman"/>
                <w:color w:val="000000" w:themeColor="text1"/>
                <w:spacing w:val="-8"/>
              </w:rPr>
            </w:pPr>
            <w:r>
              <w:rPr>
                <w:rFonts w:ascii="Times New Roman" w:eastAsia="仿宋" w:hAnsi="Times New Roman"/>
                <w:color w:val="000000" w:themeColor="text1"/>
                <w:spacing w:val="-8"/>
              </w:rPr>
              <w:t>博弈论</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FFFF00"/>
            <w:vAlign w:val="center"/>
          </w:tcPr>
          <w:p w:rsidR="00AE7AE2" w:rsidRDefault="00AE7AE2" w:rsidP="008C702D">
            <w:pPr>
              <w:rPr>
                <w:rFonts w:ascii="Times New Roman" w:eastAsia="仿宋" w:hAnsi="Times New Roman"/>
                <w:color w:val="000000" w:themeColor="text1"/>
                <w:spacing w:val="-8"/>
              </w:rPr>
            </w:pPr>
            <w:r>
              <w:rPr>
                <w:rFonts w:ascii="Times New Roman" w:eastAsia="仿宋" w:hAnsi="Times New Roman"/>
                <w:color w:val="000000" w:themeColor="text1"/>
                <w:spacing w:val="-8"/>
              </w:rPr>
              <w:t>高级计量经济学</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财务管理研究</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电子商务与网络营销</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vMerge/>
            <w:vAlign w:val="center"/>
          </w:tcPr>
          <w:p w:rsidR="00AE7AE2" w:rsidRDefault="00AE7AE2" w:rsidP="008C702D">
            <w:pPr>
              <w:jc w:val="center"/>
              <w:rPr>
                <w:rFonts w:ascii="Times New Roman" w:eastAsia="仿宋" w:hAnsi="Times New Roman"/>
                <w:color w:val="000000" w:themeColor="text1"/>
                <w:szCs w:val="24"/>
              </w:rPr>
            </w:pPr>
          </w:p>
        </w:tc>
        <w:tc>
          <w:tcPr>
            <w:tcW w:w="1424" w:type="dxa"/>
            <w:vMerge/>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技术创新与知识产权管理</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组织行为学</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企业战略与营销管理专题</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right="-57"/>
              <w:rPr>
                <w:rFonts w:ascii="Times New Roman" w:eastAsia="仿宋" w:hAnsi="Times New Roman"/>
                <w:color w:val="000000" w:themeColor="text1"/>
              </w:rPr>
            </w:pPr>
            <w:r>
              <w:rPr>
                <w:rFonts w:ascii="Times New Roman" w:eastAsia="仿宋" w:hAnsi="Times New Roman"/>
                <w:color w:val="000000" w:themeColor="text1"/>
              </w:rPr>
              <w:t>人力资源管理专题</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企业环境经营与可持续发展</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公司治理结构专题</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rPr>
                <w:rFonts w:ascii="Times New Roman" w:eastAsia="仿宋" w:hAnsi="Times New Roman"/>
                <w:color w:val="000000" w:themeColor="text1"/>
              </w:rPr>
            </w:pPr>
            <w:r>
              <w:rPr>
                <w:rFonts w:ascii="Times New Roman" w:eastAsia="仿宋" w:hAnsi="Times New Roman"/>
                <w:color w:val="000000" w:themeColor="text1"/>
              </w:rPr>
              <w:t>金融与证券研究专题</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FFFF00"/>
            <w:vAlign w:val="center"/>
          </w:tcPr>
          <w:p w:rsidR="00AE7AE2" w:rsidRDefault="00AE7AE2" w:rsidP="008C702D">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公司金融专题</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FFFF00"/>
            <w:vAlign w:val="center"/>
          </w:tcPr>
          <w:p w:rsidR="00AE7AE2" w:rsidRDefault="00AE7AE2" w:rsidP="008C702D">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创业管理</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公司法</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0"/>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商法</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7441EF">
        <w:trPr>
          <w:cantSplit/>
          <w:trHeight w:val="252"/>
          <w:jc w:val="center"/>
        </w:trPr>
        <w:tc>
          <w:tcPr>
            <w:tcW w:w="1421" w:type="dxa"/>
            <w:vMerge/>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vMerge/>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auto"/>
            <w:vAlign w:val="center"/>
          </w:tcPr>
          <w:p w:rsidR="00AE7AE2" w:rsidRDefault="00AE7AE2" w:rsidP="008C702D">
            <w:pPr>
              <w:ind w:leftChars="-27" w:left="-65" w:right="-57"/>
              <w:jc w:val="center"/>
              <w:rPr>
                <w:rFonts w:ascii="Times New Roman" w:eastAsia="仿宋" w:hAnsi="Times New Roman"/>
                <w:color w:val="000000" w:themeColor="text1"/>
                <w:spacing w:val="-8"/>
              </w:rPr>
            </w:pPr>
            <w:r>
              <w:rPr>
                <w:rFonts w:ascii="Times New Roman" w:eastAsia="仿宋" w:hAnsi="Times New Roman"/>
                <w:color w:val="000000" w:themeColor="text1"/>
              </w:rPr>
              <w:t>合同法</w:t>
            </w:r>
          </w:p>
        </w:tc>
        <w:tc>
          <w:tcPr>
            <w:tcW w:w="1341" w:type="dxa"/>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1421" w:type="dxa"/>
            <w:shd w:val="clear" w:color="auto" w:fill="auto"/>
            <w:vAlign w:val="center"/>
          </w:tcPr>
          <w:p w:rsidR="00AE7AE2" w:rsidRDefault="00AE7AE2" w:rsidP="008C702D">
            <w:pPr>
              <w:jc w:val="center"/>
              <w:rPr>
                <w:rFonts w:ascii="Times New Roman" w:eastAsia="仿宋" w:hAnsi="Times New Roman"/>
                <w:color w:val="000000" w:themeColor="text1"/>
                <w:szCs w:val="24"/>
              </w:rPr>
            </w:pPr>
          </w:p>
        </w:tc>
        <w:tc>
          <w:tcPr>
            <w:tcW w:w="1424" w:type="dxa"/>
            <w:shd w:val="clear" w:color="auto" w:fill="auto"/>
            <w:vAlign w:val="center"/>
          </w:tcPr>
          <w:p w:rsidR="00AE7AE2" w:rsidRDefault="00AE7AE2" w:rsidP="008C702D">
            <w:pPr>
              <w:jc w:val="center"/>
              <w:rPr>
                <w:rFonts w:ascii="Times New Roman" w:eastAsia="仿宋" w:hAnsi="Times New Roman"/>
                <w:color w:val="000000" w:themeColor="text1"/>
                <w:spacing w:val="-8"/>
                <w:szCs w:val="24"/>
              </w:rPr>
            </w:pPr>
          </w:p>
        </w:tc>
        <w:tc>
          <w:tcPr>
            <w:tcW w:w="2096" w:type="dxa"/>
            <w:shd w:val="clear" w:color="auto" w:fill="FFFF00"/>
            <w:vAlign w:val="center"/>
          </w:tcPr>
          <w:p w:rsidR="00AE7AE2" w:rsidRDefault="00AE7AE2" w:rsidP="008C702D">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运营管理</w:t>
            </w:r>
          </w:p>
        </w:tc>
        <w:tc>
          <w:tcPr>
            <w:tcW w:w="1341" w:type="dxa"/>
            <w:shd w:val="clear" w:color="auto" w:fill="auto"/>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shd w:val="clear" w:color="auto" w:fill="auto"/>
            <w:vAlign w:val="center"/>
          </w:tcPr>
          <w:p w:rsidR="00AE7AE2" w:rsidRDefault="00AE7AE2" w:rsidP="008C702D">
            <w:pPr>
              <w:ind w:left="-57" w:right="-57"/>
              <w:jc w:val="center"/>
              <w:rPr>
                <w:rFonts w:ascii="Times New Roman" w:eastAsia="仿宋" w:hAnsi="Times New Roman"/>
                <w:color w:val="000000" w:themeColor="text1"/>
                <w:spacing w:val="-8"/>
                <w:szCs w:val="24"/>
              </w:rPr>
            </w:pPr>
          </w:p>
        </w:tc>
        <w:tc>
          <w:tcPr>
            <w:tcW w:w="669" w:type="dxa"/>
            <w:shd w:val="clear" w:color="auto" w:fill="auto"/>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1857" w:type="dxa"/>
            <w:vAlign w:val="center"/>
          </w:tcPr>
          <w:p w:rsidR="00AE7AE2" w:rsidRDefault="00AE7AE2" w:rsidP="008C702D">
            <w:pPr>
              <w:adjustRightInd w:val="0"/>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2845" w:type="dxa"/>
            <w:gridSpan w:val="2"/>
            <w:vMerge w:val="restart"/>
            <w:vAlign w:val="center"/>
          </w:tcPr>
          <w:p w:rsidR="00AE7AE2" w:rsidRDefault="00AE7AE2" w:rsidP="008C702D">
            <w:pPr>
              <w:jc w:val="center"/>
              <w:rPr>
                <w:rFonts w:ascii="Times New Roman" w:eastAsia="黑体" w:hAnsi="Times New Roman"/>
                <w:color w:val="000000" w:themeColor="text1"/>
                <w:szCs w:val="24"/>
              </w:rPr>
            </w:pPr>
            <w:r>
              <w:rPr>
                <w:rFonts w:ascii="Times New Roman" w:eastAsia="黑体" w:hAnsi="Times New Roman"/>
                <w:color w:val="000000" w:themeColor="text1"/>
                <w:szCs w:val="24"/>
              </w:rPr>
              <w:t>补修课程</w:t>
            </w:r>
          </w:p>
        </w:tc>
        <w:tc>
          <w:tcPr>
            <w:tcW w:w="2096" w:type="dxa"/>
            <w:vAlign w:val="center"/>
          </w:tcPr>
          <w:p w:rsidR="00AE7AE2" w:rsidRDefault="00AE7AE2" w:rsidP="008C702D">
            <w:pPr>
              <w:jc w:val="center"/>
              <w:rPr>
                <w:rFonts w:ascii="Times New Roman" w:hAnsi="Times New Roman"/>
                <w:color w:val="000000" w:themeColor="text1"/>
              </w:rPr>
            </w:pPr>
            <w:r>
              <w:rPr>
                <w:rFonts w:ascii="Times New Roman" w:hAnsi="Times New Roman"/>
                <w:color w:val="000000" w:themeColor="text1"/>
              </w:rPr>
              <w:t>管理学</w:t>
            </w:r>
          </w:p>
        </w:tc>
        <w:tc>
          <w:tcPr>
            <w:tcW w:w="1341" w:type="dxa"/>
            <w:vMerge w:val="restart"/>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2282" w:type="dxa"/>
            <w:vAlign w:val="center"/>
          </w:tcPr>
          <w:p w:rsidR="00AE7AE2" w:rsidRDefault="00AE7AE2" w:rsidP="008C702D">
            <w:pPr>
              <w:ind w:right="-57"/>
              <w:jc w:val="center"/>
              <w:rPr>
                <w:rFonts w:ascii="Times New Roman" w:eastAsia="仿宋" w:hAnsi="Times New Roman"/>
                <w:color w:val="000000" w:themeColor="text1"/>
                <w:szCs w:val="24"/>
              </w:rPr>
            </w:pPr>
          </w:p>
        </w:tc>
        <w:tc>
          <w:tcPr>
            <w:tcW w:w="669" w:type="dxa"/>
            <w:vMerge w:val="restart"/>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0</w:t>
            </w:r>
          </w:p>
        </w:tc>
        <w:tc>
          <w:tcPr>
            <w:tcW w:w="777" w:type="dxa"/>
            <w:vMerge w:val="restart"/>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777" w:type="dxa"/>
            <w:vMerge w:val="restart"/>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765" w:type="dxa"/>
            <w:vMerge w:val="restart"/>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65" w:type="dxa"/>
            <w:vMerge w:val="restart"/>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857" w:type="dxa"/>
            <w:vMerge w:val="restart"/>
            <w:vAlign w:val="center"/>
          </w:tcPr>
          <w:p w:rsidR="00AE7AE2" w:rsidRDefault="00AE7AE2" w:rsidP="008C702D">
            <w:pPr>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学院安排研究生补修有关课程，每门课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r>
      <w:tr w:rsidR="00AE7AE2" w:rsidTr="008C702D">
        <w:trPr>
          <w:cantSplit/>
          <w:trHeight w:val="20"/>
          <w:jc w:val="center"/>
        </w:trPr>
        <w:tc>
          <w:tcPr>
            <w:tcW w:w="2845" w:type="dxa"/>
            <w:gridSpan w:val="2"/>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jc w:val="center"/>
              <w:rPr>
                <w:rFonts w:ascii="Times New Roman" w:hAnsi="Times New Roman"/>
                <w:color w:val="000000" w:themeColor="text1"/>
              </w:rPr>
            </w:pPr>
            <w:r>
              <w:rPr>
                <w:rFonts w:ascii="Times New Roman" w:hAnsi="Times New Roman"/>
                <w:color w:val="000000" w:themeColor="text1"/>
              </w:rPr>
              <w:t>现代企业学</w:t>
            </w:r>
          </w:p>
        </w:tc>
        <w:tc>
          <w:tcPr>
            <w:tcW w:w="1341" w:type="dxa"/>
            <w:vMerge/>
            <w:vAlign w:val="center"/>
          </w:tcPr>
          <w:p w:rsidR="00AE7AE2" w:rsidRDefault="00AE7AE2" w:rsidP="008C702D">
            <w:pPr>
              <w:ind w:right="-57"/>
              <w:jc w:val="center"/>
              <w:rPr>
                <w:rFonts w:ascii="Times New Roman" w:eastAsia="仿宋" w:hAnsi="Times New Roman"/>
                <w:color w:val="000000" w:themeColor="text1"/>
                <w:szCs w:val="24"/>
              </w:rPr>
            </w:pPr>
          </w:p>
        </w:tc>
        <w:tc>
          <w:tcPr>
            <w:tcW w:w="2282" w:type="dxa"/>
            <w:vAlign w:val="center"/>
          </w:tcPr>
          <w:p w:rsidR="00AE7AE2" w:rsidRDefault="00AE7AE2" w:rsidP="008C702D">
            <w:pPr>
              <w:ind w:right="-57"/>
              <w:jc w:val="center"/>
              <w:rPr>
                <w:rFonts w:ascii="Times New Roman" w:eastAsia="仿宋" w:hAnsi="Times New Roman"/>
                <w:color w:val="000000" w:themeColor="text1"/>
                <w:szCs w:val="24"/>
              </w:rPr>
            </w:pPr>
          </w:p>
        </w:tc>
        <w:tc>
          <w:tcPr>
            <w:tcW w:w="669" w:type="dxa"/>
            <w:vMerge/>
            <w:vAlign w:val="center"/>
          </w:tcPr>
          <w:p w:rsidR="00AE7AE2" w:rsidRDefault="00AE7AE2" w:rsidP="008C702D">
            <w:pPr>
              <w:ind w:right="-57"/>
              <w:jc w:val="center"/>
              <w:rPr>
                <w:rFonts w:ascii="Times New Roman" w:eastAsia="仿宋" w:hAnsi="Times New Roman"/>
                <w:color w:val="000000" w:themeColor="text1"/>
                <w:szCs w:val="24"/>
              </w:rPr>
            </w:pPr>
          </w:p>
        </w:tc>
        <w:tc>
          <w:tcPr>
            <w:tcW w:w="777" w:type="dxa"/>
            <w:vMerge/>
            <w:vAlign w:val="center"/>
          </w:tcPr>
          <w:p w:rsidR="00AE7AE2" w:rsidRDefault="00AE7AE2" w:rsidP="008C702D">
            <w:pPr>
              <w:ind w:right="-57"/>
              <w:jc w:val="center"/>
              <w:rPr>
                <w:rFonts w:ascii="Times New Roman" w:eastAsia="仿宋" w:hAnsi="Times New Roman"/>
                <w:color w:val="000000" w:themeColor="text1"/>
                <w:szCs w:val="24"/>
              </w:rPr>
            </w:pPr>
          </w:p>
        </w:tc>
        <w:tc>
          <w:tcPr>
            <w:tcW w:w="777" w:type="dxa"/>
            <w:vMerge/>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Merge/>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Merge/>
            <w:vAlign w:val="center"/>
          </w:tcPr>
          <w:p w:rsidR="00AE7AE2" w:rsidRDefault="00AE7AE2" w:rsidP="008C702D">
            <w:pPr>
              <w:ind w:right="-57"/>
              <w:jc w:val="center"/>
              <w:rPr>
                <w:rFonts w:ascii="Times New Roman" w:eastAsia="仿宋" w:hAnsi="Times New Roman"/>
                <w:color w:val="000000" w:themeColor="text1"/>
                <w:szCs w:val="24"/>
              </w:rPr>
            </w:pPr>
          </w:p>
        </w:tc>
        <w:tc>
          <w:tcPr>
            <w:tcW w:w="1857" w:type="dxa"/>
            <w:vMerge/>
            <w:vAlign w:val="center"/>
          </w:tcPr>
          <w:p w:rsidR="00AE7AE2" w:rsidRDefault="00AE7AE2" w:rsidP="008C702D">
            <w:pPr>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2845" w:type="dxa"/>
            <w:gridSpan w:val="2"/>
            <w:vMerge w:val="restart"/>
            <w:textDirection w:val="tbRlV"/>
            <w:vAlign w:val="center"/>
          </w:tcPr>
          <w:p w:rsidR="00AE7AE2" w:rsidRDefault="00AE7AE2"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其他培养环节</w:t>
            </w:r>
          </w:p>
        </w:tc>
        <w:tc>
          <w:tcPr>
            <w:tcW w:w="2096"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文献阅读与综述</w:t>
            </w:r>
          </w:p>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623" w:type="dxa"/>
            <w:gridSpan w:val="2"/>
            <w:vAlign w:val="center"/>
          </w:tcPr>
          <w:p w:rsidR="00AE7AE2" w:rsidRDefault="00AE7AE2" w:rsidP="008C702D">
            <w:pPr>
              <w:rPr>
                <w:rFonts w:ascii="Times New Roman" w:eastAsia="仿宋" w:hAnsi="Times New Roman"/>
                <w:color w:val="000000" w:themeColor="text1"/>
              </w:rPr>
            </w:pPr>
            <w:r>
              <w:rPr>
                <w:rFonts w:ascii="Times New Roman" w:eastAsia="仿宋" w:hAnsi="Times New Roman"/>
                <w:color w:val="000000" w:themeColor="text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AE7AE2" w:rsidRDefault="00AE7AE2" w:rsidP="008C702D">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学期，每学期精读专著不少于</w:t>
            </w:r>
            <w:r>
              <w:rPr>
                <w:rFonts w:ascii="Times New Roman" w:eastAsia="仿宋" w:hAnsi="Times New Roman"/>
                <w:color w:val="000000" w:themeColor="text1"/>
              </w:rPr>
              <w:t>2</w:t>
            </w:r>
            <w:r>
              <w:rPr>
                <w:rFonts w:ascii="Times New Roman" w:eastAsia="仿宋" w:hAnsi="Times New Roman"/>
                <w:color w:val="000000" w:themeColor="text1"/>
              </w:rPr>
              <w:t>本，具体书目由导师指定，可以通过读书报告或书评形式考核。</w:t>
            </w:r>
          </w:p>
        </w:tc>
        <w:tc>
          <w:tcPr>
            <w:tcW w:w="669"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857" w:type="dxa"/>
            <w:vMerge w:val="restart"/>
            <w:vAlign w:val="center"/>
          </w:tcPr>
          <w:p w:rsidR="00AE7AE2" w:rsidRDefault="00AE7AE2" w:rsidP="008C702D">
            <w:pPr>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r>
      <w:tr w:rsidR="00AE7AE2" w:rsidTr="008C702D">
        <w:trPr>
          <w:cantSplit/>
          <w:trHeight w:val="20"/>
          <w:jc w:val="center"/>
        </w:trPr>
        <w:tc>
          <w:tcPr>
            <w:tcW w:w="2845" w:type="dxa"/>
            <w:gridSpan w:val="2"/>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623" w:type="dxa"/>
            <w:gridSpan w:val="2"/>
            <w:vAlign w:val="center"/>
          </w:tcPr>
          <w:p w:rsidR="00AE7AE2" w:rsidRDefault="00AE7AE2" w:rsidP="008C702D">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学期，每学期应提交学期论文</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3000</w:t>
            </w:r>
            <w:r>
              <w:rPr>
                <w:rFonts w:ascii="Times New Roman" w:eastAsia="仿宋" w:hAnsi="Times New Roman"/>
                <w:color w:val="000000" w:themeColor="text1"/>
              </w:rPr>
              <w:t>字。</w:t>
            </w:r>
          </w:p>
        </w:tc>
        <w:tc>
          <w:tcPr>
            <w:tcW w:w="669"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857" w:type="dxa"/>
            <w:vMerge/>
            <w:vAlign w:val="center"/>
          </w:tcPr>
          <w:p w:rsidR="00AE7AE2" w:rsidRDefault="00AE7AE2" w:rsidP="008C702D">
            <w:pPr>
              <w:ind w:leftChars="-27" w:left="-65" w:right="-57"/>
              <w:jc w:val="left"/>
              <w:rPr>
                <w:rFonts w:ascii="Times New Roman" w:eastAsia="仿宋" w:hAnsi="Times New Roman"/>
                <w:color w:val="000000" w:themeColor="text1"/>
                <w:szCs w:val="24"/>
              </w:rPr>
            </w:pPr>
          </w:p>
        </w:tc>
      </w:tr>
      <w:tr w:rsidR="00AE7AE2" w:rsidTr="008C702D">
        <w:trPr>
          <w:cantSplit/>
          <w:trHeight w:val="20"/>
          <w:jc w:val="center"/>
        </w:trPr>
        <w:tc>
          <w:tcPr>
            <w:tcW w:w="2845" w:type="dxa"/>
            <w:gridSpan w:val="2"/>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AE7AE2" w:rsidRDefault="00AE7AE2" w:rsidP="008C702D">
            <w:pPr>
              <w:ind w:leftChars="-27" w:left="-65" w:right="-57"/>
              <w:jc w:val="center"/>
              <w:rPr>
                <w:rFonts w:ascii="Times New Roman" w:eastAsia="仿宋" w:hAnsi="Times New Roman"/>
                <w:color w:val="000000" w:themeColor="text1"/>
                <w:szCs w:val="24"/>
              </w:rPr>
            </w:pPr>
          </w:p>
        </w:tc>
        <w:tc>
          <w:tcPr>
            <w:tcW w:w="3623" w:type="dxa"/>
            <w:gridSpan w:val="2"/>
            <w:vAlign w:val="center"/>
          </w:tcPr>
          <w:p w:rsidR="00AE7AE2" w:rsidRDefault="00AE7AE2" w:rsidP="008C702D">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AE7AE2" w:rsidRDefault="00AE7AE2" w:rsidP="008C702D">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两年内主持或参与的课题研究项目不少于</w:t>
            </w:r>
            <w:r>
              <w:rPr>
                <w:rFonts w:ascii="Times New Roman" w:eastAsia="仿宋" w:hAnsi="Times New Roman"/>
                <w:color w:val="000000" w:themeColor="text1"/>
              </w:rPr>
              <w:t>2</w:t>
            </w:r>
            <w:r>
              <w:rPr>
                <w:rFonts w:ascii="Times New Roman" w:eastAsia="仿宋" w:hAnsi="Times New Roman"/>
                <w:color w:val="000000" w:themeColor="text1"/>
              </w:rPr>
              <w:t>项。</w:t>
            </w: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1857" w:type="dxa"/>
            <w:vMerge/>
            <w:vAlign w:val="center"/>
          </w:tcPr>
          <w:p w:rsidR="00AE7AE2" w:rsidRDefault="00AE7AE2" w:rsidP="008C702D">
            <w:pPr>
              <w:ind w:leftChars="-27" w:left="-65" w:right="-57"/>
              <w:jc w:val="left"/>
              <w:rPr>
                <w:rFonts w:ascii="Times New Roman" w:eastAsia="仿宋" w:hAnsi="Times New Roman"/>
                <w:color w:val="000000" w:themeColor="text1"/>
                <w:spacing w:val="-8"/>
                <w:szCs w:val="24"/>
              </w:rPr>
            </w:pPr>
          </w:p>
        </w:tc>
      </w:tr>
      <w:tr w:rsidR="00AE7AE2" w:rsidTr="008C702D">
        <w:trPr>
          <w:cantSplit/>
          <w:trHeight w:val="20"/>
          <w:jc w:val="center"/>
        </w:trPr>
        <w:tc>
          <w:tcPr>
            <w:tcW w:w="2845" w:type="dxa"/>
            <w:gridSpan w:val="2"/>
            <w:vMerge/>
            <w:vAlign w:val="center"/>
          </w:tcPr>
          <w:p w:rsidR="00AE7AE2" w:rsidRDefault="00AE7AE2" w:rsidP="008C702D">
            <w:pPr>
              <w:jc w:val="center"/>
              <w:rPr>
                <w:rFonts w:ascii="Times New Roman" w:eastAsia="仿宋" w:hAnsi="Times New Roman"/>
                <w:color w:val="000000" w:themeColor="text1"/>
                <w:szCs w:val="24"/>
              </w:rPr>
            </w:pPr>
          </w:p>
        </w:tc>
        <w:tc>
          <w:tcPr>
            <w:tcW w:w="2096" w:type="dxa"/>
            <w:vAlign w:val="center"/>
          </w:tcPr>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AE7AE2" w:rsidRDefault="00AE7AE2"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623" w:type="dxa"/>
            <w:gridSpan w:val="2"/>
            <w:vAlign w:val="center"/>
          </w:tcPr>
          <w:p w:rsidR="00AE7AE2" w:rsidRDefault="00AE7AE2"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属于应届生的必修环节。研究生在完成学位课程学习并获得相应学分后，应参加为期</w:t>
            </w:r>
            <w:r>
              <w:rPr>
                <w:rFonts w:ascii="Times New Roman" w:eastAsia="仿宋" w:hAnsi="Times New Roman"/>
                <w:color w:val="000000" w:themeColor="text1"/>
              </w:rPr>
              <w:t>3—6</w:t>
            </w:r>
            <w:r>
              <w:rPr>
                <w:rFonts w:ascii="Times New Roman" w:eastAsia="仿宋" w:hAnsi="Times New Roman"/>
                <w:color w:val="000000" w:themeColor="text1"/>
              </w:rPr>
              <w:t>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669" w:type="dxa"/>
            <w:vAlign w:val="center"/>
          </w:tcPr>
          <w:p w:rsidR="00AE7AE2" w:rsidRDefault="00AE7AE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77" w:type="dxa"/>
            <w:vAlign w:val="center"/>
          </w:tcPr>
          <w:p w:rsidR="00AE7AE2" w:rsidRDefault="00AE7AE2" w:rsidP="008C702D">
            <w:pPr>
              <w:ind w:left="-57"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jc w:val="center"/>
              <w:rPr>
                <w:rFonts w:ascii="Times New Roman" w:eastAsia="仿宋" w:hAnsi="Times New Roman"/>
                <w:color w:val="000000" w:themeColor="text1"/>
                <w:szCs w:val="24"/>
              </w:rPr>
            </w:pPr>
          </w:p>
        </w:tc>
        <w:tc>
          <w:tcPr>
            <w:tcW w:w="765" w:type="dxa"/>
            <w:vAlign w:val="center"/>
          </w:tcPr>
          <w:p w:rsidR="00AE7AE2" w:rsidRDefault="00AE7AE2" w:rsidP="008C702D">
            <w:pPr>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1857" w:type="dxa"/>
            <w:vMerge/>
            <w:vAlign w:val="center"/>
          </w:tcPr>
          <w:p w:rsidR="00AE7AE2" w:rsidRDefault="00AE7AE2" w:rsidP="008C702D">
            <w:pPr>
              <w:ind w:leftChars="-27" w:left="-65" w:right="-57"/>
              <w:jc w:val="left"/>
              <w:rPr>
                <w:rFonts w:ascii="Times New Roman" w:eastAsia="仿宋" w:hAnsi="Times New Roman"/>
                <w:color w:val="000000" w:themeColor="text1"/>
                <w:spacing w:val="-8"/>
                <w:szCs w:val="24"/>
              </w:rPr>
            </w:pPr>
          </w:p>
        </w:tc>
      </w:tr>
      <w:tr w:rsidR="00AE7AE2" w:rsidTr="008C702D">
        <w:trPr>
          <w:cantSplit/>
          <w:trHeight w:val="20"/>
          <w:jc w:val="center"/>
        </w:trPr>
        <w:tc>
          <w:tcPr>
            <w:tcW w:w="2845" w:type="dxa"/>
            <w:gridSpan w:val="2"/>
            <w:vAlign w:val="center"/>
          </w:tcPr>
          <w:p w:rsidR="00AE7AE2" w:rsidRDefault="00AE7AE2"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合计</w:t>
            </w:r>
          </w:p>
        </w:tc>
        <w:tc>
          <w:tcPr>
            <w:tcW w:w="2096" w:type="dxa"/>
            <w:vAlign w:val="center"/>
          </w:tcPr>
          <w:p w:rsidR="00AE7AE2" w:rsidRDefault="00AE7AE2" w:rsidP="008C702D">
            <w:pPr>
              <w:ind w:leftChars="-27" w:left="-65" w:right="-57" w:firstLineChars="200" w:firstLine="480"/>
              <w:jc w:val="center"/>
              <w:rPr>
                <w:rFonts w:ascii="Times New Roman" w:eastAsia="仿宋" w:hAnsi="Times New Roman"/>
                <w:color w:val="000000" w:themeColor="text1"/>
                <w:szCs w:val="24"/>
              </w:rPr>
            </w:pPr>
          </w:p>
        </w:tc>
        <w:tc>
          <w:tcPr>
            <w:tcW w:w="3623" w:type="dxa"/>
            <w:gridSpan w:val="2"/>
            <w:vAlign w:val="center"/>
          </w:tcPr>
          <w:p w:rsidR="00AE7AE2" w:rsidRDefault="00AE7AE2" w:rsidP="008C702D">
            <w:pPr>
              <w:ind w:right="-57"/>
              <w:jc w:val="center"/>
              <w:rPr>
                <w:rFonts w:ascii="Times New Roman" w:eastAsia="仿宋" w:hAnsi="Times New Roman"/>
                <w:color w:val="000000" w:themeColor="text1"/>
                <w:szCs w:val="24"/>
              </w:rPr>
            </w:pPr>
          </w:p>
        </w:tc>
        <w:tc>
          <w:tcPr>
            <w:tcW w:w="669" w:type="dxa"/>
            <w:vAlign w:val="center"/>
          </w:tcPr>
          <w:p w:rsidR="00AE7AE2" w:rsidRDefault="00AE7AE2"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41</w:t>
            </w:r>
          </w:p>
        </w:tc>
        <w:tc>
          <w:tcPr>
            <w:tcW w:w="777" w:type="dxa"/>
            <w:vAlign w:val="center"/>
          </w:tcPr>
          <w:p w:rsidR="00AE7AE2" w:rsidRDefault="00AE7AE2" w:rsidP="008C702D">
            <w:pPr>
              <w:ind w:right="-57"/>
              <w:jc w:val="center"/>
              <w:rPr>
                <w:rFonts w:ascii="Times New Roman" w:eastAsia="仿宋" w:hAnsi="Times New Roman"/>
                <w:color w:val="000000" w:themeColor="text1"/>
                <w:szCs w:val="24"/>
              </w:rPr>
            </w:pPr>
          </w:p>
        </w:tc>
        <w:tc>
          <w:tcPr>
            <w:tcW w:w="777" w:type="dxa"/>
            <w:vAlign w:val="center"/>
          </w:tcPr>
          <w:p w:rsidR="00AE7AE2" w:rsidRDefault="00AE7AE2" w:rsidP="008C702D">
            <w:pPr>
              <w:ind w:leftChars="-27" w:left="-65" w:right="-57" w:firstLineChars="200" w:firstLine="480"/>
              <w:jc w:val="center"/>
              <w:rPr>
                <w:rFonts w:ascii="Times New Roman" w:eastAsia="仿宋" w:hAnsi="Times New Roman"/>
                <w:color w:val="000000" w:themeColor="text1"/>
                <w:szCs w:val="24"/>
              </w:rPr>
            </w:pPr>
          </w:p>
        </w:tc>
        <w:tc>
          <w:tcPr>
            <w:tcW w:w="765" w:type="dxa"/>
            <w:vAlign w:val="center"/>
          </w:tcPr>
          <w:p w:rsidR="00AE7AE2" w:rsidRDefault="00AE7AE2" w:rsidP="008C702D">
            <w:pPr>
              <w:ind w:leftChars="-27" w:left="-65" w:right="-57" w:firstLineChars="200" w:firstLine="480"/>
              <w:jc w:val="center"/>
              <w:rPr>
                <w:rFonts w:ascii="Times New Roman" w:eastAsia="仿宋" w:hAnsi="Times New Roman"/>
                <w:color w:val="000000" w:themeColor="text1"/>
                <w:szCs w:val="24"/>
              </w:rPr>
            </w:pPr>
          </w:p>
        </w:tc>
        <w:tc>
          <w:tcPr>
            <w:tcW w:w="765" w:type="dxa"/>
            <w:vAlign w:val="center"/>
          </w:tcPr>
          <w:p w:rsidR="00AE7AE2" w:rsidRDefault="00AE7AE2" w:rsidP="008C702D">
            <w:pPr>
              <w:ind w:right="-57"/>
              <w:jc w:val="center"/>
              <w:rPr>
                <w:rFonts w:ascii="Times New Roman" w:eastAsia="仿宋" w:hAnsi="Times New Roman"/>
                <w:color w:val="000000" w:themeColor="text1"/>
                <w:szCs w:val="24"/>
              </w:rPr>
            </w:pPr>
          </w:p>
        </w:tc>
        <w:tc>
          <w:tcPr>
            <w:tcW w:w="1857" w:type="dxa"/>
            <w:vAlign w:val="center"/>
          </w:tcPr>
          <w:p w:rsidR="00AE7AE2" w:rsidRDefault="00AE7AE2" w:rsidP="008C702D">
            <w:pPr>
              <w:ind w:leftChars="-27" w:left="-65" w:right="-57" w:firstLineChars="200" w:firstLine="480"/>
              <w:jc w:val="left"/>
              <w:rPr>
                <w:rFonts w:ascii="Times New Roman" w:eastAsia="仿宋" w:hAnsi="Times New Roman"/>
                <w:color w:val="000000" w:themeColor="text1"/>
                <w:szCs w:val="24"/>
              </w:rPr>
            </w:pPr>
          </w:p>
        </w:tc>
      </w:tr>
    </w:tbl>
    <w:p w:rsidR="005B759F" w:rsidRDefault="005B759F"/>
    <w:sectPr w:rsidR="005B759F" w:rsidSect="00AE7AE2">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F"/>
    <w:multiLevelType w:val="multilevel"/>
    <w:tmpl w:val="0000003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35532FB"/>
    <w:multiLevelType w:val="multilevel"/>
    <w:tmpl w:val="535532F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E2"/>
    <w:rsid w:val="00595D0F"/>
    <w:rsid w:val="005B759F"/>
    <w:rsid w:val="007441EF"/>
    <w:rsid w:val="00AE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9C4E5-C050-464D-BBC8-0A295D9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AE2"/>
    <w:pPr>
      <w:widowControl w:val="0"/>
      <w:jc w:val="both"/>
    </w:pPr>
    <w:rPr>
      <w:rFonts w:ascii="Calibri" w:eastAsia="仿宋_GB2312" w:hAnsi="Calibri" w:cs="Times New Roman"/>
      <w:sz w:val="24"/>
    </w:rPr>
  </w:style>
  <w:style w:type="paragraph" w:styleId="2">
    <w:name w:val="heading 2"/>
    <w:basedOn w:val="a"/>
    <w:next w:val="a"/>
    <w:link w:val="20"/>
    <w:qFormat/>
    <w:rsid w:val="00AE7AE2"/>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AE7AE2"/>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AE7AE2"/>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AE7AE2"/>
    <w:rPr>
      <w:rFonts w:ascii="Calibri" w:eastAsia="楷体_GB2312" w:hAnsi="Calibri" w:cs="Times New Roman"/>
      <w:b/>
      <w:bCs/>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2017-01-06T00:55:00Z</dcterms:created>
  <dcterms:modified xsi:type="dcterms:W3CDTF">2018-05-12T08:26:00Z</dcterms:modified>
</cp:coreProperties>
</file>