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4"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1770"/>
        <w:gridCol w:w="1488"/>
        <w:gridCol w:w="1700"/>
        <w:gridCol w:w="1558"/>
      </w:tblGrid>
      <w:tr w:rsidR="003144F8" w:rsidTr="00EC07F0">
        <w:trPr>
          <w:cantSplit/>
          <w:trHeight w:val="460"/>
        </w:trPr>
        <w:tc>
          <w:tcPr>
            <w:tcW w:w="8784" w:type="dxa"/>
            <w:gridSpan w:val="5"/>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pStyle w:val="2"/>
              <w:rPr>
                <w:kern w:val="2"/>
                <w:lang w:val="en-US" w:eastAsia="zh-CN"/>
              </w:rPr>
            </w:pPr>
            <w:bookmarkStart w:id="0" w:name="_Toc450839812"/>
            <w:r>
              <w:rPr>
                <w:rFonts w:hint="eastAsia"/>
                <w:kern w:val="2"/>
                <w:lang w:val="en-US" w:eastAsia="zh-CN"/>
              </w:rPr>
              <w:t>法学理论专业攻读硕士学位研究生培养方案</w:t>
            </w:r>
            <w:r>
              <w:rPr>
                <w:kern w:val="2"/>
                <w:lang w:val="en-US" w:eastAsia="zh-CN"/>
              </w:rPr>
              <w:br/>
            </w:r>
            <w:r>
              <w:rPr>
                <w:rStyle w:val="40"/>
                <w:rFonts w:hint="eastAsia"/>
                <w:kern w:val="2"/>
                <w:lang w:val="en-US" w:eastAsia="zh-CN"/>
              </w:rPr>
              <w:t>（专业代码：</w:t>
            </w:r>
            <w:r w:rsidR="00EC07F0">
              <w:rPr>
                <w:rStyle w:val="40"/>
                <w:kern w:val="2"/>
                <w:lang w:val="en-US" w:eastAsia="zh-CN"/>
              </w:rPr>
              <w:t>030101</w:t>
            </w:r>
            <w:r>
              <w:rPr>
                <w:rStyle w:val="40"/>
                <w:rFonts w:hint="eastAsia"/>
                <w:kern w:val="2"/>
                <w:lang w:val="en-US" w:eastAsia="zh-CN"/>
              </w:rPr>
              <w:t>）</w:t>
            </w:r>
            <w:bookmarkEnd w:id="0"/>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r>
              <w:rPr>
                <w:rFonts w:eastAsia="黑体" w:hint="eastAsia"/>
              </w:rPr>
              <w:t>一、学科、专业简介</w:t>
            </w: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r>
              <w:rPr>
                <w:rFonts w:ascii="仿宋" w:eastAsia="仿宋" w:hAnsi="仿宋" w:hint="eastAsia"/>
                <w:szCs w:val="24"/>
              </w:rPr>
              <w:t>本专业以中国政法大学法理学研究所为教学科研主体，是法学十四门主干课程之一法理学的教学单位，具有法学理论硕士点、博士点和博士后点。主要承担下列本科生和研究生课程：法理学导论、法理学原理、西方法哲学、法学方法论、立法学、比较法总论、法社会学、法律经济学、法律语言学、女性主义法学、中国特色社会主义法治等</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rPr>
                <w:rFonts w:eastAsia="黑体"/>
              </w:rPr>
            </w:pPr>
            <w:r>
              <w:rPr>
                <w:rFonts w:eastAsia="黑体" w:hint="eastAsia"/>
              </w:rPr>
              <w:t>二、培养目标</w:t>
            </w:r>
          </w:p>
          <w:p w:rsidR="003144F8" w:rsidRDefault="003144F8" w:rsidP="00823A11">
            <w:pPr>
              <w:jc w:val="center"/>
              <w:rPr>
                <w:rFonts w:ascii="仿宋" w:eastAsia="仿宋" w:hAnsi="仿宋"/>
              </w:rPr>
            </w:pP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ascii="仿宋" w:eastAsia="仿宋" w:hAnsi="仿宋"/>
                <w:szCs w:val="24"/>
              </w:rPr>
            </w:pPr>
            <w:r>
              <w:rPr>
                <w:rFonts w:ascii="仿宋" w:eastAsia="仿宋" w:hAnsi="仿宋" w:hint="eastAsia"/>
                <w:szCs w:val="24"/>
              </w:rPr>
              <w:t>培养具有社会主义思想道德觉悟，坚持马列主义、毛泽东思想和邓小平理论，拥护中国共产党的领导，坚持社会主义方向，具有坚实的法学理论和系统的法学专业知识，身体健康，复合型高级法律专门人才。</w:t>
            </w:r>
          </w:p>
          <w:p w:rsidR="003144F8" w:rsidRDefault="003144F8" w:rsidP="00823A11">
            <w:pPr>
              <w:ind w:firstLineChars="200" w:firstLine="480"/>
              <w:rPr>
                <w:rFonts w:eastAsia="仿宋"/>
              </w:rPr>
            </w:pPr>
            <w:r>
              <w:rPr>
                <w:rFonts w:ascii="仿宋" w:eastAsia="仿宋" w:hAnsi="仿宋" w:hint="eastAsia"/>
                <w:szCs w:val="24"/>
              </w:rPr>
              <w:t>具体要求：坚持将法学理论作为法学体系中的主干学科和所有部门法学的基础，并以此作为教学、科研和具体司法实践的指南，要求学生既有扎实的法理学功底，又有应用法律能力的良好法学素质。</w:t>
            </w:r>
            <w:bookmarkStart w:id="1" w:name="_GoBack"/>
            <w:bookmarkEnd w:id="1"/>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jc w:val="left"/>
              <w:rPr>
                <w:rFonts w:eastAsia="黑体"/>
              </w:rPr>
            </w:pPr>
            <w:r>
              <w:rPr>
                <w:rFonts w:eastAsia="黑体" w:hint="eastAsia"/>
              </w:rPr>
              <w:t>三、研究方向</w:t>
            </w: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rPr>
                <w:rFonts w:ascii="仿宋" w:eastAsia="仿宋" w:hAnsi="仿宋"/>
                <w:szCs w:val="24"/>
              </w:rPr>
            </w:pPr>
            <w:r>
              <w:rPr>
                <w:rFonts w:ascii="仿宋" w:eastAsia="仿宋" w:hAnsi="仿宋" w:hint="eastAsia"/>
                <w:szCs w:val="24"/>
              </w:rPr>
              <w:t>（一）法哲学，本方向重视欧洲大陆（以德国见长）以及英美法哲学的研究。</w:t>
            </w:r>
          </w:p>
          <w:p w:rsidR="003144F8" w:rsidRDefault="003144F8" w:rsidP="00823A11">
            <w:pPr>
              <w:rPr>
                <w:rFonts w:ascii="仿宋" w:eastAsia="仿宋" w:hAnsi="仿宋"/>
                <w:szCs w:val="24"/>
              </w:rPr>
            </w:pPr>
            <w:r>
              <w:rPr>
                <w:rFonts w:ascii="仿宋" w:eastAsia="仿宋" w:hAnsi="仿宋" w:hint="eastAsia"/>
                <w:szCs w:val="24"/>
              </w:rPr>
              <w:t>（二）法学方法论，本方向研究重点在于法律论证，法律解释，法律续造等法学方法论的研究，以德国法学方法论为主。</w:t>
            </w:r>
          </w:p>
          <w:p w:rsidR="003144F8" w:rsidRDefault="003144F8" w:rsidP="00823A11">
            <w:pPr>
              <w:rPr>
                <w:rFonts w:ascii="仿宋" w:eastAsia="仿宋" w:hAnsi="仿宋"/>
                <w:szCs w:val="24"/>
              </w:rPr>
            </w:pPr>
            <w:r>
              <w:rPr>
                <w:rFonts w:ascii="仿宋" w:eastAsia="仿宋" w:hAnsi="仿宋" w:hint="eastAsia"/>
                <w:szCs w:val="24"/>
              </w:rPr>
              <w:t>（三）法社会学，本方向研究重点在于法学的实证和经验研究。</w:t>
            </w:r>
          </w:p>
          <w:p w:rsidR="003144F8" w:rsidRDefault="003144F8" w:rsidP="00823A11">
            <w:pPr>
              <w:rPr>
                <w:rFonts w:ascii="仿宋" w:eastAsia="仿宋" w:hAnsi="仿宋"/>
                <w:szCs w:val="24"/>
              </w:rPr>
            </w:pPr>
            <w:r>
              <w:rPr>
                <w:rFonts w:ascii="仿宋" w:eastAsia="仿宋" w:hAnsi="仿宋" w:hint="eastAsia"/>
                <w:szCs w:val="24"/>
              </w:rPr>
              <w:t>（四）比较法，本方向研究重点在于各国法律制度和法律文化的比较研究。</w:t>
            </w:r>
          </w:p>
          <w:p w:rsidR="003144F8" w:rsidRDefault="003144F8" w:rsidP="00823A11">
            <w:pPr>
              <w:rPr>
                <w:rFonts w:ascii="仿宋" w:eastAsia="仿宋" w:hAnsi="仿宋"/>
                <w:szCs w:val="24"/>
              </w:rPr>
            </w:pPr>
            <w:r>
              <w:rPr>
                <w:rFonts w:ascii="仿宋" w:eastAsia="仿宋" w:hAnsi="仿宋" w:hint="eastAsia"/>
                <w:szCs w:val="24"/>
              </w:rPr>
              <w:t>（五）法律语言与逻辑，本方向研究重点在于法律语言以及法律逻辑的分析和运用。</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rPr>
                <w:rFonts w:eastAsia="黑体"/>
              </w:rPr>
            </w:pPr>
            <w:r>
              <w:rPr>
                <w:rFonts w:eastAsia="黑体" w:hint="eastAsia"/>
              </w:rPr>
              <w:t>四、学制及学习年限</w:t>
            </w:r>
          </w:p>
        </w:tc>
        <w:tc>
          <w:tcPr>
            <w:tcW w:w="1770" w:type="dxa"/>
            <w:tcBorders>
              <w:top w:val="single" w:sz="4" w:space="0" w:color="auto"/>
              <w:left w:val="single" w:sz="4" w:space="0" w:color="auto"/>
              <w:bottom w:val="single" w:sz="4" w:space="0" w:color="auto"/>
              <w:right w:val="nil"/>
            </w:tcBorders>
            <w:vAlign w:val="center"/>
            <w:hideMark/>
          </w:tcPr>
          <w:p w:rsidR="003144F8" w:rsidRDefault="003144F8" w:rsidP="00823A11">
            <w:pPr>
              <w:jc w:val="center"/>
              <w:rPr>
                <w:rFonts w:eastAsia="仿宋"/>
                <w:b/>
                <w:sz w:val="28"/>
                <w:szCs w:val="28"/>
              </w:rPr>
            </w:pPr>
            <w:r>
              <w:rPr>
                <w:rFonts w:eastAsia="仿宋" w:hint="eastAsia"/>
                <w:b/>
                <w:sz w:val="28"/>
                <w:szCs w:val="28"/>
              </w:rPr>
              <w:t>学制</w:t>
            </w:r>
          </w:p>
        </w:tc>
        <w:tc>
          <w:tcPr>
            <w:tcW w:w="1488" w:type="dxa"/>
            <w:tcBorders>
              <w:top w:val="single" w:sz="4" w:space="0" w:color="auto"/>
              <w:left w:val="single" w:sz="4" w:space="0" w:color="auto"/>
              <w:bottom w:val="single" w:sz="4" w:space="0" w:color="auto"/>
              <w:right w:val="nil"/>
            </w:tcBorders>
            <w:vAlign w:val="center"/>
            <w:hideMark/>
          </w:tcPr>
          <w:p w:rsidR="003144F8" w:rsidRDefault="003144F8" w:rsidP="00823A11">
            <w:pPr>
              <w:jc w:val="center"/>
              <w:rPr>
                <w:rFonts w:eastAsia="仿宋"/>
                <w:sz w:val="28"/>
                <w:szCs w:val="28"/>
              </w:rPr>
            </w:pPr>
            <w:r>
              <w:rPr>
                <w:rFonts w:eastAsia="仿宋" w:hint="eastAsia"/>
                <w:sz w:val="28"/>
                <w:szCs w:val="28"/>
              </w:rPr>
              <w:t>三年</w:t>
            </w:r>
          </w:p>
        </w:tc>
        <w:tc>
          <w:tcPr>
            <w:tcW w:w="1700" w:type="dxa"/>
            <w:tcBorders>
              <w:top w:val="single" w:sz="4" w:space="0" w:color="auto"/>
              <w:left w:val="single" w:sz="4" w:space="0" w:color="auto"/>
              <w:bottom w:val="single" w:sz="4" w:space="0" w:color="auto"/>
              <w:right w:val="nil"/>
            </w:tcBorders>
            <w:vAlign w:val="center"/>
            <w:hideMark/>
          </w:tcPr>
          <w:p w:rsidR="003144F8" w:rsidRDefault="003144F8" w:rsidP="00823A11">
            <w:pPr>
              <w:jc w:val="center"/>
              <w:rPr>
                <w:rFonts w:eastAsia="仿宋"/>
                <w:b/>
                <w:sz w:val="28"/>
                <w:szCs w:val="28"/>
              </w:rPr>
            </w:pPr>
            <w:r>
              <w:rPr>
                <w:rFonts w:eastAsia="仿宋" w:hint="eastAsia"/>
                <w:b/>
                <w:sz w:val="28"/>
                <w:szCs w:val="28"/>
              </w:rPr>
              <w:t>学习年限</w:t>
            </w:r>
          </w:p>
        </w:tc>
        <w:tc>
          <w:tcPr>
            <w:tcW w:w="155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jc w:val="center"/>
              <w:rPr>
                <w:rFonts w:eastAsia="仿宋"/>
                <w:sz w:val="28"/>
                <w:szCs w:val="28"/>
              </w:rPr>
            </w:pPr>
            <w:r>
              <w:rPr>
                <w:rFonts w:eastAsia="仿宋" w:hint="eastAsia"/>
                <w:sz w:val="28"/>
                <w:szCs w:val="28"/>
              </w:rPr>
              <w:t>二至四年</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jc w:val="left"/>
              <w:rPr>
                <w:rFonts w:eastAsia="黑体"/>
              </w:rPr>
            </w:pPr>
            <w:r>
              <w:rPr>
                <w:rFonts w:eastAsia="黑体" w:hint="eastAsia"/>
              </w:rPr>
              <w:t>五、课程设置、其他培养环节、教学计划与学分要求</w:t>
            </w: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r>
              <w:rPr>
                <w:rFonts w:hint="eastAsia"/>
              </w:rPr>
              <w:t>见附表</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jc w:val="center"/>
              <w:rPr>
                <w:rFonts w:eastAsia="黑体"/>
              </w:rPr>
            </w:pPr>
            <w:r>
              <w:rPr>
                <w:rFonts w:eastAsia="黑体" w:hint="eastAsia"/>
              </w:rPr>
              <w:t>六、培养方式</w:t>
            </w:r>
          </w:p>
          <w:p w:rsidR="003144F8" w:rsidRDefault="003144F8" w:rsidP="00823A11">
            <w:pPr>
              <w:jc w:val="center"/>
              <w:rPr>
                <w:rFonts w:eastAsia="黑体"/>
              </w:rPr>
            </w:pP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rPr>
                <w:rFonts w:eastAsia="仿宋"/>
              </w:rPr>
            </w:pPr>
            <w:r>
              <w:rPr>
                <w:rFonts w:eastAsia="仿宋" w:hint="eastAsia"/>
              </w:rPr>
              <w:t>实行导师负责制下的研究方向组制。</w:t>
            </w:r>
          </w:p>
          <w:p w:rsidR="003144F8" w:rsidRDefault="003144F8" w:rsidP="00823A11">
            <w:pPr>
              <w:rPr>
                <w:rFonts w:eastAsia="仿宋"/>
              </w:rPr>
            </w:pPr>
            <w:r>
              <w:rPr>
                <w:rFonts w:eastAsia="仿宋" w:hint="eastAsia"/>
              </w:rPr>
              <w:t>本专业硕士生以课程学习为主，科学研究为辅。</w:t>
            </w:r>
          </w:p>
          <w:p w:rsidR="003144F8" w:rsidRDefault="003144F8" w:rsidP="00823A11">
            <w:pPr>
              <w:rPr>
                <w:rFonts w:eastAsia="仿宋"/>
              </w:rPr>
            </w:pPr>
            <w:r>
              <w:rPr>
                <w:rFonts w:eastAsia="仿宋" w:hint="eastAsia"/>
              </w:rPr>
              <w:t>专业课程采取教师讲授和课堂讨论相结合的方式进行。</w:t>
            </w:r>
          </w:p>
          <w:p w:rsidR="003144F8" w:rsidRDefault="003144F8" w:rsidP="00823A11">
            <w:r>
              <w:rPr>
                <w:rFonts w:eastAsia="仿宋" w:hint="eastAsia"/>
              </w:rPr>
              <w:t>积极开展研讨课、案例课、慕课、课后读书小组等多种形式的教学方式，培养学生专业素质和综合能力，提高学生的创新能力、应用法律能力、语言表达和写作能力。</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rPr>
                <w:rFonts w:eastAsia="黑体"/>
              </w:rPr>
            </w:pPr>
            <w:r>
              <w:rPr>
                <w:rFonts w:eastAsia="黑体" w:hint="eastAsia"/>
              </w:rPr>
              <w:t>七、质量标准</w:t>
            </w:r>
          </w:p>
          <w:p w:rsidR="003144F8" w:rsidRDefault="003144F8" w:rsidP="00823A11">
            <w:pPr>
              <w:rPr>
                <w:rFonts w:eastAsia="黑体"/>
              </w:rPr>
            </w:pPr>
          </w:p>
        </w:tc>
        <w:tc>
          <w:tcPr>
            <w:tcW w:w="6516" w:type="dxa"/>
            <w:gridSpan w:val="4"/>
            <w:tcBorders>
              <w:top w:val="single" w:sz="4" w:space="0" w:color="auto"/>
              <w:left w:val="single" w:sz="4" w:space="0" w:color="auto"/>
              <w:bottom w:val="single" w:sz="4" w:space="0" w:color="auto"/>
              <w:right w:val="single" w:sz="4" w:space="0" w:color="auto"/>
            </w:tcBorders>
            <w:vAlign w:val="center"/>
          </w:tcPr>
          <w:p w:rsidR="003144F8" w:rsidRDefault="003144F8" w:rsidP="00823A11">
            <w:pPr>
              <w:ind w:firstLineChars="200" w:firstLine="480"/>
              <w:rPr>
                <w:rFonts w:eastAsia="仿宋"/>
              </w:rPr>
            </w:pPr>
            <w:r>
              <w:rPr>
                <w:rFonts w:eastAsia="仿宋" w:hint="eastAsia"/>
              </w:rPr>
              <w:t>培养具有社会主义思想道德觉悟，坚持马列主义、毛泽东思想和邓小平理论、三个代表重要思想和科学发展观，拥</w:t>
            </w:r>
            <w:r>
              <w:rPr>
                <w:rFonts w:eastAsia="仿宋" w:hint="eastAsia"/>
              </w:rPr>
              <w:lastRenderedPageBreak/>
              <w:t>护中国共产党的领导，坚持社会主义方向，具有坚实的本学科理论和系统的专业知识，身体健康。</w:t>
            </w:r>
          </w:p>
          <w:p w:rsidR="003144F8" w:rsidRDefault="003144F8" w:rsidP="00823A11">
            <w:pPr>
              <w:ind w:firstLineChars="200" w:firstLine="480"/>
              <w:rPr>
                <w:rFonts w:eastAsia="仿宋"/>
              </w:rPr>
            </w:pPr>
            <w:r>
              <w:rPr>
                <w:rFonts w:eastAsia="仿宋" w:hint="eastAsia"/>
              </w:rPr>
              <w:t>了解法学理论学科专业的理论体系，系统学习法学理论学科专业的基本原理、基本理论，提高和深化对法学理论学科专业的理论和理论框架的认识。能够提出自己的看法和想法，进行系统的论证；通过以点带面，促进理论的深化和思维能力的提高。</w:t>
            </w:r>
            <w:r>
              <w:rPr>
                <w:rFonts w:eastAsia="仿宋"/>
              </w:rPr>
              <w:t xml:space="preserve">     </w:t>
            </w:r>
          </w:p>
          <w:p w:rsidR="003144F8" w:rsidRDefault="003144F8" w:rsidP="00823A11">
            <w:pPr>
              <w:ind w:firstLineChars="200" w:firstLine="480"/>
              <w:rPr>
                <w:rFonts w:eastAsia="仿宋"/>
              </w:rPr>
            </w:pPr>
            <w:r>
              <w:rPr>
                <w:rFonts w:eastAsia="仿宋" w:hint="eastAsia"/>
              </w:rPr>
              <w:t>关注社会，关注现实，关注当代中国经济与社会发展实践，积极探索新领域、新现象、新问题，鼓励学术理论创新，具有较强的创新精神与实践能力。</w:t>
            </w:r>
          </w:p>
          <w:p w:rsidR="003144F8" w:rsidRDefault="003144F8" w:rsidP="00823A11">
            <w:pPr>
              <w:ind w:firstLineChars="200" w:firstLine="480"/>
              <w:rPr>
                <w:rFonts w:eastAsia="仿宋"/>
              </w:rPr>
            </w:pPr>
            <w:r>
              <w:rPr>
                <w:rFonts w:eastAsia="仿宋" w:hint="eastAsia"/>
              </w:rPr>
              <w:t>较为熟练地掌握一门外语，达到听、说、读、写水平。适应各类国家机关和企事业单位在社会主义市场经济下所需要的复合型高级专业人才。</w:t>
            </w:r>
          </w:p>
          <w:p w:rsidR="003144F8" w:rsidRDefault="003144F8" w:rsidP="00823A11">
            <w:pPr>
              <w:ind w:firstLineChars="200" w:firstLine="480"/>
              <w:rPr>
                <w:rFonts w:eastAsia="仿宋"/>
              </w:rPr>
            </w:pP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rPr>
                <w:rFonts w:eastAsia="黑体"/>
              </w:rPr>
            </w:pPr>
            <w:r>
              <w:rPr>
                <w:rFonts w:eastAsia="黑体" w:hint="eastAsia"/>
              </w:rPr>
              <w:lastRenderedPageBreak/>
              <w:t>八、考核方式</w:t>
            </w:r>
          </w:p>
          <w:p w:rsidR="003144F8" w:rsidRDefault="003144F8" w:rsidP="00823A11">
            <w:pPr>
              <w:jc w:val="center"/>
              <w:rPr>
                <w:rFonts w:eastAsia="黑体"/>
              </w:rPr>
            </w:pP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eastAsia="仿宋"/>
              </w:rPr>
            </w:pPr>
            <w:r>
              <w:rPr>
                <w:rFonts w:eastAsia="仿宋" w:hint="eastAsia"/>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3144F8" w:rsidRDefault="003144F8" w:rsidP="00823A11">
            <w:pPr>
              <w:ind w:firstLineChars="200" w:firstLine="480"/>
              <w:rPr>
                <w:rFonts w:eastAsia="仿宋"/>
              </w:rPr>
            </w:pPr>
            <w:r>
              <w:rPr>
                <w:rFonts w:eastAsia="仿宋" w:hint="eastAsia"/>
              </w:rPr>
              <w:t>与建立研究生分流培养的机制相适应，配合多规格多标准的人才培养模式，加强阶段性考核，重视选拔培养对象、重点扶持等环节。</w:t>
            </w:r>
          </w:p>
          <w:p w:rsidR="003144F8" w:rsidRDefault="003144F8" w:rsidP="00823A11">
            <w:pPr>
              <w:ind w:firstLineChars="200" w:firstLine="480"/>
              <w:rPr>
                <w:rFonts w:eastAsia="仿宋"/>
              </w:rPr>
            </w:pPr>
            <w:r>
              <w:rPr>
                <w:rFonts w:eastAsia="仿宋" w:hint="eastAsia"/>
              </w:rPr>
              <w:t>学术型硕士研究生应撰写相关的专题论文、读书报告、学期论文作为科研能力的考核。</w:t>
            </w:r>
          </w:p>
          <w:p w:rsidR="003144F8" w:rsidRDefault="003144F8" w:rsidP="00823A11">
            <w:pPr>
              <w:ind w:firstLineChars="200" w:firstLine="480"/>
              <w:rPr>
                <w:rFonts w:eastAsia="仿宋"/>
              </w:rPr>
            </w:pPr>
            <w:r>
              <w:rPr>
                <w:rFonts w:eastAsia="仿宋" w:hint="eastAsia"/>
              </w:rPr>
              <w:t>社会实践环节是学术型硕士研究生的必修环节。社会实践可以通过专业实习、挂职锻炼、产学研基地联合培养和社会调查等走入社会的方式进行，以专业实习为主。社会实践的时间一般不得少于</w:t>
            </w:r>
            <w:r>
              <w:rPr>
                <w:rFonts w:eastAsia="仿宋"/>
              </w:rPr>
              <w:t>2</w:t>
            </w:r>
            <w:r>
              <w:rPr>
                <w:rFonts w:eastAsia="仿宋" w:hint="eastAsia"/>
              </w:rPr>
              <w:t>个月，并需要提交不低于</w:t>
            </w:r>
            <w:r>
              <w:rPr>
                <w:rFonts w:eastAsia="仿宋"/>
              </w:rPr>
              <w:t>5</w:t>
            </w:r>
            <w:r>
              <w:rPr>
                <w:rFonts w:eastAsia="仿宋" w:hint="eastAsia"/>
              </w:rPr>
              <w:t>千字的社会实践报告。</w:t>
            </w:r>
          </w:p>
          <w:p w:rsidR="003144F8" w:rsidRDefault="003144F8" w:rsidP="00823A11">
            <w:pPr>
              <w:ind w:firstLineChars="200" w:firstLine="480"/>
              <w:rPr>
                <w:rFonts w:eastAsia="仿宋"/>
              </w:rPr>
            </w:pPr>
            <w:r>
              <w:rPr>
                <w:rFonts w:eastAsia="仿宋" w:hint="eastAsia"/>
              </w:rPr>
              <w:t>学术型硕士研究生的中期考核主要采取书面审核方式。具体方式和程序依据《中国政法大学学术型硕士研究生培养规定》。</w:t>
            </w:r>
          </w:p>
          <w:p w:rsidR="003144F8" w:rsidRDefault="003144F8" w:rsidP="00823A11">
            <w:pPr>
              <w:ind w:firstLineChars="200" w:firstLine="480"/>
              <w:rPr>
                <w:rFonts w:eastAsia="仿宋"/>
              </w:rPr>
            </w:pPr>
            <w:r>
              <w:rPr>
                <w:rFonts w:eastAsia="仿宋" w:hint="eastAsia"/>
              </w:rPr>
              <w:t>学术型硕士研究生的开题报告按照《中国政法大学学术型硕士研究生培养规定》，由</w:t>
            </w:r>
            <w:r>
              <w:rPr>
                <w:rFonts w:eastAsia="仿宋"/>
              </w:rPr>
              <w:t>3</w:t>
            </w:r>
            <w:r>
              <w:rPr>
                <w:rFonts w:eastAsia="仿宋" w:hint="eastAsia"/>
              </w:rPr>
              <w:t>位具有导师资格的校内外专家组成考核委员会进行。</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jc w:val="left"/>
              <w:rPr>
                <w:rFonts w:eastAsia="黑体"/>
              </w:rPr>
            </w:pPr>
            <w:r>
              <w:rPr>
                <w:rFonts w:eastAsia="黑体" w:hint="eastAsia"/>
              </w:rPr>
              <w:t>九、学位论文选题与撰写</w:t>
            </w: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eastAsia="仿宋"/>
              </w:rPr>
            </w:pPr>
            <w:r>
              <w:rPr>
                <w:rFonts w:eastAsia="仿宋" w:hint="eastAsia"/>
              </w:rPr>
              <w:t>学位论文的选题，由研究生与导师协商确定，由开题小组导师提出修改建议，最后确定题目；</w:t>
            </w:r>
          </w:p>
          <w:p w:rsidR="003144F8" w:rsidRDefault="003144F8" w:rsidP="00823A11">
            <w:pPr>
              <w:ind w:firstLineChars="200" w:firstLine="480"/>
              <w:rPr>
                <w:rFonts w:eastAsia="仿宋"/>
              </w:rPr>
            </w:pPr>
            <w:r>
              <w:rPr>
                <w:rFonts w:eastAsia="仿宋" w:hint="eastAsia"/>
              </w:rPr>
              <w:t>学位论文初稿完成后，导师认真修改，必要时发回重写，最后定稿打印；</w:t>
            </w:r>
          </w:p>
          <w:p w:rsidR="003144F8" w:rsidRDefault="003144F8" w:rsidP="00823A11">
            <w:pPr>
              <w:ind w:firstLineChars="200" w:firstLine="480"/>
              <w:rPr>
                <w:rFonts w:eastAsia="仿宋"/>
              </w:rPr>
            </w:pPr>
            <w:r>
              <w:rPr>
                <w:rFonts w:eastAsia="仿宋" w:hint="eastAsia"/>
              </w:rPr>
              <w:t>学位论文必须符合学校原创性和规范性要求，严禁抄袭剽窃，且论文正文字数不少于三万字。</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jc w:val="left"/>
              <w:rPr>
                <w:rFonts w:eastAsia="黑体"/>
              </w:rPr>
            </w:pPr>
            <w:r>
              <w:rPr>
                <w:rFonts w:eastAsia="黑体" w:hint="eastAsia"/>
              </w:rPr>
              <w:t>十、学位论文答辩与学位授予</w:t>
            </w: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eastAsia="仿宋"/>
              </w:rPr>
            </w:pPr>
            <w:r>
              <w:rPr>
                <w:rFonts w:eastAsia="仿宋" w:hint="eastAsia"/>
              </w:rPr>
              <w:t>申请学位必须符合国家规定的法定条件；</w:t>
            </w:r>
          </w:p>
          <w:p w:rsidR="003144F8" w:rsidRDefault="003144F8" w:rsidP="00823A11">
            <w:pPr>
              <w:ind w:firstLineChars="200" w:firstLine="480"/>
              <w:rPr>
                <w:rFonts w:eastAsia="仿宋"/>
              </w:rPr>
            </w:pPr>
            <w:r>
              <w:rPr>
                <w:rFonts w:eastAsia="仿宋" w:hint="eastAsia"/>
              </w:rPr>
              <w:t>学位申请材料必须齐全，内容全面真实；</w:t>
            </w:r>
          </w:p>
          <w:p w:rsidR="003144F8" w:rsidRDefault="003144F8" w:rsidP="00823A11">
            <w:pPr>
              <w:ind w:firstLineChars="200" w:firstLine="480"/>
              <w:rPr>
                <w:rFonts w:eastAsia="仿宋"/>
              </w:rPr>
            </w:pPr>
            <w:r>
              <w:rPr>
                <w:rFonts w:ascii="Times New Roman" w:eastAsia="仿宋" w:hAnsi="Times New Roman" w:hint="eastAsia"/>
                <w:szCs w:val="24"/>
              </w:rPr>
              <w:lastRenderedPageBreak/>
              <w:t>本专业建立并实行预答辩制度</w:t>
            </w:r>
            <w:r>
              <w:rPr>
                <w:rFonts w:ascii="Times New Roman" w:eastAsia="仿宋" w:hAnsi="Times New Roman"/>
                <w:szCs w:val="24"/>
              </w:rPr>
              <w:t>,</w:t>
            </w:r>
            <w:r>
              <w:rPr>
                <w:rFonts w:ascii="Times New Roman" w:eastAsia="仿宋" w:hAnsi="Times New Roman" w:hint="eastAsia"/>
                <w:szCs w:val="24"/>
              </w:rPr>
              <w:t>预答辩时间与申请学位间隔时间应不少于</w:t>
            </w:r>
            <w:r>
              <w:rPr>
                <w:rFonts w:ascii="Times New Roman" w:eastAsia="仿宋" w:hAnsi="Times New Roman"/>
                <w:szCs w:val="24"/>
              </w:rPr>
              <w:t>3</w:t>
            </w:r>
            <w:r>
              <w:rPr>
                <w:rFonts w:ascii="Times New Roman" w:eastAsia="仿宋" w:hAnsi="Times New Roman" w:hint="eastAsia"/>
                <w:szCs w:val="24"/>
              </w:rPr>
              <w:t>个月。</w:t>
            </w:r>
          </w:p>
          <w:p w:rsidR="003144F8" w:rsidRDefault="003144F8" w:rsidP="00823A11">
            <w:pPr>
              <w:ind w:firstLineChars="200" w:firstLine="480"/>
              <w:rPr>
                <w:rFonts w:eastAsia="仿宋"/>
              </w:rPr>
            </w:pPr>
            <w:r>
              <w:rPr>
                <w:rFonts w:eastAsia="仿宋" w:hint="eastAsia"/>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3144F8" w:rsidRDefault="003144F8" w:rsidP="00823A11">
            <w:pPr>
              <w:ind w:firstLineChars="200" w:firstLine="480"/>
              <w:rPr>
                <w:rFonts w:eastAsia="仿宋"/>
              </w:rPr>
            </w:pPr>
            <w:r>
              <w:rPr>
                <w:rFonts w:eastAsia="仿宋" w:hint="eastAsia"/>
              </w:rPr>
              <w:t>答辩委员会在认真审阅学位论文的基础上，对申请人进行公正、严肃、认真、负责的提问和无记名表决，并向校学位评定委员会提出授予或不授予硕士学位的建议。</w:t>
            </w:r>
          </w:p>
          <w:p w:rsidR="003144F8" w:rsidRDefault="003144F8" w:rsidP="00823A11">
            <w:pPr>
              <w:ind w:firstLineChars="200" w:firstLine="480"/>
            </w:pPr>
            <w:r>
              <w:rPr>
                <w:rFonts w:eastAsia="仿宋" w:hint="eastAsia"/>
              </w:rPr>
              <w:t>硕士学位的授予应符合《中国政法大学学位授予办法》（法大发〔</w:t>
            </w:r>
            <w:r>
              <w:rPr>
                <w:rFonts w:eastAsia="仿宋"/>
              </w:rPr>
              <w:t>2016</w:t>
            </w:r>
            <w:r>
              <w:rPr>
                <w:rFonts w:eastAsia="仿宋" w:hint="eastAsia"/>
              </w:rPr>
              <w:t>〕</w:t>
            </w:r>
            <w:r>
              <w:rPr>
                <w:rFonts w:eastAsia="仿宋"/>
              </w:rPr>
              <w:t>44</w:t>
            </w:r>
            <w:r>
              <w:rPr>
                <w:rFonts w:eastAsia="仿宋" w:hint="eastAsia"/>
              </w:rPr>
              <w:t>号）和《中华人民共和国学位条例》的要求。</w:t>
            </w:r>
          </w:p>
        </w:tc>
      </w:tr>
      <w:tr w:rsidR="003144F8" w:rsidTr="00EC07F0">
        <w:trPr>
          <w:trHeight w:val="20"/>
        </w:trPr>
        <w:tc>
          <w:tcPr>
            <w:tcW w:w="2268"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jc w:val="left"/>
              <w:rPr>
                <w:rFonts w:eastAsia="黑体"/>
              </w:rPr>
            </w:pPr>
            <w:r>
              <w:rPr>
                <w:rFonts w:eastAsia="黑体" w:hint="eastAsia"/>
              </w:rPr>
              <w:lastRenderedPageBreak/>
              <w:t>十一、参考文献</w:t>
            </w:r>
          </w:p>
        </w:tc>
        <w:tc>
          <w:tcPr>
            <w:tcW w:w="6516" w:type="dxa"/>
            <w:gridSpan w:val="4"/>
            <w:tcBorders>
              <w:top w:val="single" w:sz="4" w:space="0" w:color="auto"/>
              <w:left w:val="single" w:sz="4" w:space="0" w:color="auto"/>
              <w:bottom w:val="single" w:sz="4" w:space="0" w:color="auto"/>
              <w:right w:val="single" w:sz="4" w:space="0" w:color="auto"/>
            </w:tcBorders>
            <w:vAlign w:val="center"/>
          </w:tcPr>
          <w:p w:rsidR="003144F8" w:rsidRDefault="003144F8" w:rsidP="00823A11">
            <w:pPr>
              <w:ind w:firstLineChars="200" w:firstLine="482"/>
              <w:rPr>
                <w:rFonts w:eastAsia="仿宋"/>
                <w:b/>
              </w:rPr>
            </w:pPr>
            <w:r>
              <w:rPr>
                <w:rFonts w:eastAsia="仿宋" w:hint="eastAsia"/>
                <w:b/>
              </w:rPr>
              <w:t>一、必读文献（</w:t>
            </w:r>
            <w:r>
              <w:rPr>
                <w:rFonts w:eastAsia="仿宋"/>
                <w:b/>
              </w:rPr>
              <w:t>10</w:t>
            </w:r>
            <w:r>
              <w:rPr>
                <w:rFonts w:eastAsia="仿宋" w:hint="eastAsia"/>
                <w:b/>
              </w:rPr>
              <w:t>本）</w:t>
            </w:r>
          </w:p>
          <w:p w:rsidR="003144F8" w:rsidRDefault="003144F8" w:rsidP="00823A11">
            <w:pPr>
              <w:ind w:firstLineChars="200" w:firstLine="482"/>
              <w:rPr>
                <w:rFonts w:eastAsia="仿宋"/>
                <w:b/>
              </w:rPr>
            </w:pPr>
            <w:r>
              <w:rPr>
                <w:rFonts w:eastAsia="仿宋" w:hint="eastAsia"/>
                <w:b/>
              </w:rPr>
              <w:t>中文原著</w:t>
            </w:r>
          </w:p>
          <w:p w:rsidR="003144F8" w:rsidRDefault="003144F8" w:rsidP="00823A11">
            <w:pPr>
              <w:numPr>
                <w:ilvl w:val="0"/>
                <w:numId w:val="1"/>
              </w:numPr>
              <w:rPr>
                <w:rFonts w:ascii="仿宋" w:eastAsia="仿宋" w:hAnsi="仿宋"/>
                <w:szCs w:val="24"/>
              </w:rPr>
            </w:pPr>
            <w:r>
              <w:rPr>
                <w:rFonts w:ascii="仿宋" w:eastAsia="仿宋" w:hAnsi="仿宋" w:hint="eastAsia"/>
                <w:szCs w:val="24"/>
              </w:rPr>
              <w:t>舒国滢等著：《法学方法论问题研究》，中国政法大学出版社2007。</w:t>
            </w:r>
          </w:p>
          <w:p w:rsidR="003144F8" w:rsidRDefault="003144F8" w:rsidP="00823A11">
            <w:pPr>
              <w:numPr>
                <w:ilvl w:val="0"/>
                <w:numId w:val="1"/>
              </w:numPr>
              <w:rPr>
                <w:rFonts w:ascii="仿宋" w:eastAsia="仿宋" w:hAnsi="仿宋"/>
                <w:szCs w:val="24"/>
              </w:rPr>
            </w:pPr>
            <w:r>
              <w:rPr>
                <w:rFonts w:ascii="仿宋" w:eastAsia="仿宋" w:hAnsi="仿宋" w:hint="eastAsia"/>
                <w:szCs w:val="24"/>
              </w:rPr>
              <w:t>刘星：《</w:t>
            </w:r>
            <w:r>
              <w:rPr>
                <w:rFonts w:ascii="Verdana" w:hAnsi="Verdana" w:hint="eastAsia"/>
              </w:rPr>
              <w:t>法律是什么：二十世纪英美法理学批判阅读（精装修订版）》，中国法制出版社</w:t>
            </w:r>
            <w:r>
              <w:rPr>
                <w:rFonts w:ascii="Verdana" w:hAnsi="Verdana"/>
              </w:rPr>
              <w:t>2015</w:t>
            </w:r>
            <w:r>
              <w:rPr>
                <w:rFonts w:ascii="Verdana" w:hAnsi="Verdana" w:hint="eastAsia"/>
              </w:rPr>
              <w:t>年。</w:t>
            </w:r>
          </w:p>
          <w:p w:rsidR="003144F8" w:rsidRDefault="003144F8" w:rsidP="00823A11">
            <w:pPr>
              <w:numPr>
                <w:ilvl w:val="0"/>
                <w:numId w:val="1"/>
              </w:numPr>
              <w:rPr>
                <w:rFonts w:ascii="仿宋" w:eastAsia="仿宋" w:hAnsi="仿宋"/>
                <w:szCs w:val="24"/>
              </w:rPr>
            </w:pPr>
            <w:r>
              <w:rPr>
                <w:rFonts w:ascii="仿宋" w:eastAsia="仿宋" w:hAnsi="仿宋" w:hint="eastAsia"/>
                <w:szCs w:val="24"/>
              </w:rPr>
              <w:t>陈景辉：《法律的界限：实证主义命题群之展开》，中国政法大学出版社2007。</w:t>
            </w:r>
          </w:p>
          <w:p w:rsidR="003144F8" w:rsidRDefault="003144F8" w:rsidP="00823A11">
            <w:pPr>
              <w:numPr>
                <w:ilvl w:val="0"/>
                <w:numId w:val="1"/>
              </w:numPr>
              <w:rPr>
                <w:rFonts w:eastAsia="仿宋"/>
              </w:rPr>
            </w:pPr>
            <w:r>
              <w:rPr>
                <w:rFonts w:ascii="仿宋" w:eastAsia="仿宋" w:hAnsi="仿宋" w:hint="eastAsia"/>
                <w:szCs w:val="24"/>
              </w:rPr>
              <w:t>柯华庆：《实效主义》，上海三联书店2013年。</w:t>
            </w:r>
          </w:p>
          <w:p w:rsidR="003144F8" w:rsidRDefault="003144F8" w:rsidP="00823A11">
            <w:pPr>
              <w:ind w:firstLineChars="200" w:firstLine="482"/>
              <w:rPr>
                <w:rFonts w:eastAsia="仿宋"/>
                <w:b/>
              </w:rPr>
            </w:pPr>
            <w:r>
              <w:rPr>
                <w:rFonts w:eastAsia="仿宋" w:hint="eastAsia"/>
                <w:b/>
              </w:rPr>
              <w:t>中文译著</w:t>
            </w:r>
          </w:p>
          <w:p w:rsidR="003144F8" w:rsidRDefault="003144F8" w:rsidP="00823A11">
            <w:pPr>
              <w:ind w:firstLineChars="200" w:firstLine="480"/>
              <w:rPr>
                <w:rFonts w:ascii="仿宋" w:eastAsia="仿宋" w:hAnsi="仿宋"/>
                <w:szCs w:val="24"/>
              </w:rPr>
            </w:pPr>
            <w:r>
              <w:rPr>
                <w:rFonts w:ascii="仿宋" w:eastAsia="仿宋" w:hAnsi="仿宋" w:hint="eastAsia"/>
                <w:szCs w:val="24"/>
              </w:rPr>
              <w:t>5.[英]哈特:《法律的概念》，张文显等译，中国大百科全书出版社1996年。</w:t>
            </w:r>
          </w:p>
          <w:p w:rsidR="003144F8" w:rsidRDefault="003144F8" w:rsidP="00823A11">
            <w:pPr>
              <w:ind w:firstLineChars="200" w:firstLine="480"/>
              <w:rPr>
                <w:rFonts w:ascii="仿宋" w:eastAsia="仿宋" w:hAnsi="仿宋"/>
                <w:szCs w:val="24"/>
              </w:rPr>
            </w:pPr>
            <w:r>
              <w:rPr>
                <w:rFonts w:ascii="仿宋" w:eastAsia="仿宋" w:hAnsi="仿宋" w:hint="eastAsia"/>
                <w:szCs w:val="24"/>
              </w:rPr>
              <w:t>6. [美]德沃金：《法律帝国》李常青译，中国大百科全书出版社1996年。</w:t>
            </w:r>
          </w:p>
          <w:p w:rsidR="003144F8" w:rsidRDefault="003144F8" w:rsidP="00823A11">
            <w:pPr>
              <w:ind w:firstLineChars="200" w:firstLine="480"/>
              <w:rPr>
                <w:rFonts w:eastAsia="仿宋"/>
              </w:rPr>
            </w:pPr>
            <w:r>
              <w:rPr>
                <w:rFonts w:ascii="仿宋" w:eastAsia="仿宋" w:hAnsi="仿宋" w:hint="eastAsia"/>
                <w:szCs w:val="24"/>
              </w:rPr>
              <w:t>7. [德]阿列克西：《法律论证理论》舒国滢译，中国法制出版社2002年。</w:t>
            </w:r>
            <w:r>
              <w:rPr>
                <w:rFonts w:eastAsia="仿宋"/>
              </w:rPr>
              <w:t>5. [</w:t>
            </w:r>
            <w:r>
              <w:rPr>
                <w:rFonts w:eastAsia="仿宋" w:hint="eastAsia"/>
              </w:rPr>
              <w:t>德</w:t>
            </w:r>
            <w:r>
              <w:rPr>
                <w:rFonts w:eastAsia="仿宋"/>
              </w:rPr>
              <w:t>]</w:t>
            </w:r>
            <w:r>
              <w:rPr>
                <w:rFonts w:eastAsia="仿宋" w:hint="eastAsia"/>
              </w:rPr>
              <w:t>拉伦茨：《法学方法论》，陈爱娥译，商务印书馆</w:t>
            </w:r>
            <w:r>
              <w:rPr>
                <w:rFonts w:eastAsia="仿宋"/>
              </w:rPr>
              <w:t>2003</w:t>
            </w:r>
            <w:r>
              <w:rPr>
                <w:rFonts w:eastAsia="仿宋" w:hint="eastAsia"/>
              </w:rPr>
              <w:t>年。</w:t>
            </w:r>
          </w:p>
          <w:p w:rsidR="003144F8" w:rsidRDefault="003144F8" w:rsidP="00823A11">
            <w:pPr>
              <w:ind w:firstLineChars="200" w:firstLine="480"/>
              <w:rPr>
                <w:rFonts w:ascii="仿宋" w:eastAsia="仿宋" w:hAnsi="仿宋"/>
                <w:szCs w:val="24"/>
              </w:rPr>
            </w:pPr>
            <w:r>
              <w:rPr>
                <w:rFonts w:ascii="仿宋" w:eastAsia="仿宋" w:hAnsi="仿宋" w:hint="eastAsia"/>
                <w:szCs w:val="24"/>
              </w:rPr>
              <w:t>8.[奥]埃利希：《法社会学原理》，舒国滢译，中国大百科全书出版社，2008年。</w:t>
            </w:r>
          </w:p>
          <w:p w:rsidR="003144F8" w:rsidRDefault="003144F8" w:rsidP="00823A11">
            <w:pPr>
              <w:ind w:firstLineChars="200" w:firstLine="480"/>
              <w:rPr>
                <w:rFonts w:ascii="仿宋" w:eastAsia="仿宋" w:hAnsi="仿宋"/>
                <w:szCs w:val="24"/>
              </w:rPr>
            </w:pPr>
            <w:r>
              <w:rPr>
                <w:rFonts w:ascii="仿宋" w:eastAsia="仿宋" w:hAnsi="仿宋" w:hint="eastAsia"/>
                <w:szCs w:val="24"/>
              </w:rPr>
              <w:t>9.[德] 茨威格特/克茨：《比较法总论》，潘汉典等译，贵州人民出版社1992年。</w:t>
            </w:r>
          </w:p>
          <w:p w:rsidR="003144F8" w:rsidRDefault="003144F8" w:rsidP="00823A11">
            <w:pPr>
              <w:ind w:firstLineChars="200" w:firstLine="480"/>
              <w:rPr>
                <w:rFonts w:ascii="仿宋" w:eastAsia="仿宋" w:hAnsi="仿宋"/>
                <w:szCs w:val="24"/>
              </w:rPr>
            </w:pPr>
            <w:r>
              <w:rPr>
                <w:rFonts w:ascii="仿宋" w:eastAsia="仿宋" w:hAnsi="仿宋" w:hint="eastAsia"/>
                <w:szCs w:val="24"/>
              </w:rPr>
              <w:t>10.[法]孟德斯鸠：《论法的精神》，许明龙译，商务印书馆2012年版。</w:t>
            </w:r>
          </w:p>
          <w:p w:rsidR="003144F8" w:rsidRDefault="003144F8" w:rsidP="00823A11">
            <w:pPr>
              <w:ind w:firstLineChars="200" w:firstLine="480"/>
              <w:rPr>
                <w:rFonts w:eastAsia="仿宋"/>
              </w:rPr>
            </w:pPr>
          </w:p>
          <w:p w:rsidR="003144F8" w:rsidRDefault="003144F8" w:rsidP="00823A11">
            <w:pPr>
              <w:ind w:firstLineChars="200" w:firstLine="480"/>
              <w:rPr>
                <w:rFonts w:eastAsia="仿宋"/>
              </w:rPr>
            </w:pPr>
            <w:r>
              <w:rPr>
                <w:rFonts w:eastAsia="仿宋" w:hint="eastAsia"/>
              </w:rPr>
              <w:t>二、选读文献（不超过</w:t>
            </w:r>
            <w:r>
              <w:rPr>
                <w:rFonts w:eastAsia="仿宋"/>
              </w:rPr>
              <w:t>20</w:t>
            </w:r>
            <w:r>
              <w:rPr>
                <w:rFonts w:eastAsia="仿宋" w:hint="eastAsia"/>
              </w:rPr>
              <w:t>本）</w:t>
            </w:r>
          </w:p>
          <w:p w:rsidR="003144F8" w:rsidRDefault="003144F8" w:rsidP="00823A11">
            <w:pPr>
              <w:ind w:firstLine="482"/>
              <w:rPr>
                <w:rFonts w:eastAsia="仿宋"/>
                <w:b/>
              </w:rPr>
            </w:pPr>
            <w:r>
              <w:rPr>
                <w:rFonts w:eastAsia="仿宋" w:hint="eastAsia"/>
                <w:b/>
              </w:rPr>
              <w:t>中文原著</w:t>
            </w:r>
          </w:p>
          <w:p w:rsidR="003144F8" w:rsidRDefault="003144F8" w:rsidP="00823A11">
            <w:pPr>
              <w:numPr>
                <w:ilvl w:val="0"/>
                <w:numId w:val="2"/>
              </w:numPr>
              <w:rPr>
                <w:rFonts w:ascii="仿宋" w:eastAsia="仿宋" w:hAnsi="仿宋"/>
                <w:szCs w:val="24"/>
              </w:rPr>
            </w:pPr>
            <w:r>
              <w:rPr>
                <w:rFonts w:ascii="仿宋" w:eastAsia="仿宋" w:hAnsi="仿宋" w:hint="eastAsia"/>
                <w:szCs w:val="24"/>
              </w:rPr>
              <w:t>蒋立山：《法律现代化：中国法治道路问题研究》，中国法制出版社2006年。</w:t>
            </w:r>
          </w:p>
          <w:p w:rsidR="003144F8" w:rsidRDefault="003144F8" w:rsidP="00823A11">
            <w:pPr>
              <w:widowControl/>
              <w:numPr>
                <w:ilvl w:val="0"/>
                <w:numId w:val="2"/>
              </w:numPr>
              <w:shd w:val="clear" w:color="auto" w:fill="FFFFFF"/>
              <w:spacing w:before="100" w:beforeAutospacing="1" w:after="100" w:afterAutospacing="1"/>
              <w:jc w:val="left"/>
              <w:rPr>
                <w:rFonts w:ascii="仿宋" w:eastAsia="仿宋" w:hAnsi="仿宋" w:cs="宋体"/>
                <w:bCs/>
                <w:kern w:val="36"/>
                <w:szCs w:val="24"/>
              </w:rPr>
            </w:pPr>
            <w:r>
              <w:rPr>
                <w:rFonts w:ascii="仿宋" w:eastAsia="仿宋" w:hAnsi="仿宋" w:hint="eastAsia"/>
                <w:szCs w:val="24"/>
              </w:rPr>
              <w:t>王新宇：《性别平等与社会公正：一种能力方法的诠释与解读》，中国政法大学出版社2014年。</w:t>
            </w:r>
          </w:p>
          <w:p w:rsidR="003144F8" w:rsidRDefault="003144F8" w:rsidP="00823A11">
            <w:pPr>
              <w:widowControl/>
              <w:numPr>
                <w:ilvl w:val="0"/>
                <w:numId w:val="2"/>
              </w:numPr>
              <w:shd w:val="clear" w:color="auto" w:fill="FFFFFF"/>
              <w:spacing w:before="100" w:beforeAutospacing="1" w:after="100" w:afterAutospacing="1"/>
              <w:jc w:val="left"/>
              <w:rPr>
                <w:rFonts w:ascii="仿宋" w:eastAsia="仿宋" w:hAnsi="仿宋" w:cs="宋体"/>
                <w:bCs/>
                <w:kern w:val="36"/>
                <w:szCs w:val="24"/>
              </w:rPr>
            </w:pPr>
            <w:r>
              <w:rPr>
                <w:rFonts w:ascii="仿宋" w:eastAsia="仿宋" w:hAnsi="仿宋" w:cs="宋体" w:hint="eastAsia"/>
                <w:bCs/>
                <w:kern w:val="36"/>
                <w:szCs w:val="24"/>
              </w:rPr>
              <w:lastRenderedPageBreak/>
              <w:t>雷磊：《法律体系、法律方法与法治》，中国政法大学出版社2016年。</w:t>
            </w:r>
          </w:p>
          <w:p w:rsidR="003144F8" w:rsidRDefault="003144F8" w:rsidP="00823A11">
            <w:pPr>
              <w:numPr>
                <w:ilvl w:val="0"/>
                <w:numId w:val="2"/>
              </w:numPr>
              <w:rPr>
                <w:rFonts w:ascii="仿宋" w:eastAsia="仿宋" w:hAnsi="仿宋"/>
                <w:szCs w:val="24"/>
              </w:rPr>
            </w:pPr>
            <w:r>
              <w:rPr>
                <w:rFonts w:ascii="仿宋" w:eastAsia="仿宋" w:hAnsi="仿宋" w:hint="eastAsia"/>
                <w:szCs w:val="24"/>
              </w:rPr>
              <w:t>王夏昊：《法律规则与法律原则的抵触之解决》，中国政法大学出版社2009年。</w:t>
            </w:r>
          </w:p>
          <w:p w:rsidR="003144F8" w:rsidRDefault="003144F8" w:rsidP="00823A11">
            <w:pPr>
              <w:numPr>
                <w:ilvl w:val="0"/>
                <w:numId w:val="2"/>
              </w:numPr>
              <w:rPr>
                <w:rFonts w:ascii="仿宋" w:eastAsia="仿宋" w:hAnsi="仿宋"/>
                <w:szCs w:val="24"/>
              </w:rPr>
            </w:pPr>
            <w:r>
              <w:rPr>
                <w:rFonts w:ascii="仿宋" w:eastAsia="仿宋" w:hAnsi="仿宋" w:hint="eastAsia"/>
                <w:bCs/>
                <w:color w:val="262626"/>
                <w:kern w:val="36"/>
              </w:rPr>
              <w:t>白晟编：《潘汉典法学文集》，法律出版社2012年。</w:t>
            </w:r>
          </w:p>
          <w:p w:rsidR="003144F8" w:rsidRDefault="003144F8" w:rsidP="00823A11">
            <w:pPr>
              <w:numPr>
                <w:ilvl w:val="0"/>
                <w:numId w:val="2"/>
              </w:numPr>
              <w:rPr>
                <w:rFonts w:ascii="仿宋" w:eastAsia="仿宋" w:hAnsi="仿宋"/>
                <w:szCs w:val="24"/>
              </w:rPr>
            </w:pPr>
            <w:r>
              <w:rPr>
                <w:rFonts w:ascii="仿宋" w:eastAsia="仿宋" w:hAnsi="仿宋" w:hint="eastAsia"/>
                <w:szCs w:val="24"/>
              </w:rPr>
              <w:t>侯淑雯著：《新编立法学》，中国社会科学出版社2011年版。</w:t>
            </w:r>
          </w:p>
          <w:p w:rsidR="003144F8" w:rsidRDefault="003144F8" w:rsidP="00823A11">
            <w:pPr>
              <w:ind w:firstLineChars="200" w:firstLine="482"/>
              <w:rPr>
                <w:rFonts w:eastAsia="仿宋"/>
                <w:b/>
              </w:rPr>
            </w:pPr>
            <w:r>
              <w:rPr>
                <w:rFonts w:eastAsia="仿宋" w:hint="eastAsia"/>
                <w:b/>
              </w:rPr>
              <w:t>中文译著</w:t>
            </w:r>
          </w:p>
          <w:p w:rsidR="003144F8" w:rsidRDefault="003144F8" w:rsidP="00823A11">
            <w:pPr>
              <w:ind w:left="360"/>
              <w:jc w:val="left"/>
              <w:rPr>
                <w:rStyle w:val="t12"/>
                <w:rFonts w:ascii="仿宋" w:hAnsi="仿宋"/>
                <w:szCs w:val="24"/>
              </w:rPr>
            </w:pPr>
            <w:r>
              <w:rPr>
                <w:rFonts w:ascii="仿宋" w:eastAsia="仿宋" w:hAnsi="仿宋" w:hint="eastAsia"/>
                <w:szCs w:val="24"/>
              </w:rPr>
              <w:t>7. [英]霍布斯：《利维坦》，</w:t>
            </w:r>
            <w:hyperlink r:id="rId8" w:tgtFrame="_blank" w:history="1">
              <w:r>
                <w:rPr>
                  <w:rStyle w:val="a3"/>
                  <w:rFonts w:ascii="仿宋" w:eastAsia="仿宋" w:hAnsi="仿宋" w:hint="eastAsia"/>
                  <w:szCs w:val="24"/>
                </w:rPr>
                <w:t>黎思复</w:t>
              </w:r>
            </w:hyperlink>
            <w:r>
              <w:rPr>
                <w:rStyle w:val="t12"/>
                <w:rFonts w:ascii="仿宋" w:eastAsia="仿宋" w:hAnsi="仿宋" w:hint="eastAsia"/>
                <w:szCs w:val="24"/>
              </w:rPr>
              <w:t>、</w:t>
            </w:r>
            <w:hyperlink r:id="rId9" w:tgtFrame="_blank" w:history="1">
              <w:r>
                <w:rPr>
                  <w:rStyle w:val="a3"/>
                  <w:rFonts w:ascii="仿宋" w:eastAsia="仿宋" w:hAnsi="仿宋" w:hint="eastAsia"/>
                  <w:szCs w:val="24"/>
                </w:rPr>
                <w:t>黎廷弼</w:t>
              </w:r>
            </w:hyperlink>
            <w:r>
              <w:rPr>
                <w:rStyle w:val="t12"/>
                <w:rFonts w:ascii="仿宋" w:eastAsia="仿宋" w:hAnsi="仿宋" w:hint="eastAsia"/>
                <w:szCs w:val="24"/>
              </w:rPr>
              <w:t>译，商务印书馆1985年。</w:t>
            </w:r>
          </w:p>
          <w:p w:rsidR="003144F8" w:rsidRDefault="003144F8" w:rsidP="00823A11">
            <w:pPr>
              <w:ind w:left="360"/>
              <w:jc w:val="left"/>
            </w:pPr>
            <w:r>
              <w:rPr>
                <w:rStyle w:val="t12"/>
                <w:rFonts w:ascii="仿宋" w:eastAsia="仿宋" w:hAnsi="仿宋" w:hint="eastAsia"/>
                <w:szCs w:val="24"/>
              </w:rPr>
              <w:t>8. [英]洛克：《政府论》，</w:t>
            </w:r>
            <w:hyperlink r:id="rId10" w:tooltip="（英）洛克　著，叶启芳，瞿菊农　译" w:history="1">
              <w:r>
                <w:rPr>
                  <w:rStyle w:val="a3"/>
                  <w:rFonts w:ascii="仿宋" w:eastAsia="仿宋" w:hAnsi="仿宋" w:hint="eastAsia"/>
                  <w:szCs w:val="24"/>
                </w:rPr>
                <w:t>叶启芳</w:t>
              </w:r>
            </w:hyperlink>
            <w:r>
              <w:rPr>
                <w:rFonts w:ascii="仿宋" w:eastAsia="仿宋" w:hAnsi="仿宋" w:hint="eastAsia"/>
                <w:szCs w:val="24"/>
              </w:rPr>
              <w:t>、</w:t>
            </w:r>
            <w:hyperlink r:id="rId11" w:tooltip="（英）洛克　著，叶启芳，瞿菊农　译" w:history="1">
              <w:r>
                <w:rPr>
                  <w:rStyle w:val="a3"/>
                  <w:rFonts w:ascii="仿宋" w:eastAsia="仿宋" w:hAnsi="仿宋" w:hint="eastAsia"/>
                  <w:szCs w:val="24"/>
                </w:rPr>
                <w:t>瞿菊农</w:t>
              </w:r>
            </w:hyperlink>
            <w:r>
              <w:rPr>
                <w:rFonts w:ascii="仿宋" w:eastAsia="仿宋" w:hAnsi="仿宋" w:hint="eastAsia"/>
                <w:szCs w:val="24"/>
              </w:rPr>
              <w:t>译，商务印书馆1982年。</w:t>
            </w:r>
          </w:p>
          <w:p w:rsidR="003144F8" w:rsidRDefault="003144F8" w:rsidP="00823A11">
            <w:pPr>
              <w:ind w:left="360"/>
              <w:jc w:val="left"/>
              <w:rPr>
                <w:rFonts w:ascii="仿宋" w:eastAsia="仿宋" w:hAnsi="仿宋"/>
                <w:szCs w:val="24"/>
              </w:rPr>
            </w:pPr>
            <w:r>
              <w:rPr>
                <w:rFonts w:ascii="仿宋" w:eastAsia="仿宋" w:hAnsi="仿宋" w:hint="eastAsia"/>
                <w:szCs w:val="24"/>
              </w:rPr>
              <w:t xml:space="preserve">9. [法] </w:t>
            </w:r>
            <w:r>
              <w:rPr>
                <w:rFonts w:hint="eastAsia"/>
              </w:rPr>
              <w:t>卢梭：《社会契约论》，李平沤译，商务印书馆，</w:t>
            </w:r>
            <w:r>
              <w:t>2011</w:t>
            </w:r>
            <w:r>
              <w:rPr>
                <w:rFonts w:hint="eastAsia"/>
              </w:rPr>
              <w:t>年。</w:t>
            </w:r>
          </w:p>
          <w:p w:rsidR="003144F8" w:rsidRDefault="003144F8" w:rsidP="00823A11">
            <w:pPr>
              <w:ind w:left="360"/>
              <w:jc w:val="left"/>
              <w:rPr>
                <w:rFonts w:ascii="仿宋" w:eastAsia="仿宋" w:hAnsi="仿宋"/>
                <w:szCs w:val="24"/>
              </w:rPr>
            </w:pPr>
            <w:r>
              <w:rPr>
                <w:rFonts w:ascii="仿宋" w:eastAsia="仿宋" w:hAnsi="仿宋" w:hint="eastAsia"/>
                <w:szCs w:val="24"/>
              </w:rPr>
              <w:t>10</w:t>
            </w:r>
            <w:r>
              <w:rPr>
                <w:rStyle w:val="t12"/>
                <w:rFonts w:ascii="仿宋" w:eastAsia="仿宋" w:hAnsi="仿宋" w:hint="eastAsia"/>
                <w:szCs w:val="24"/>
              </w:rPr>
              <w:t>.</w:t>
            </w:r>
            <w:r>
              <w:rPr>
                <w:rFonts w:ascii="仿宋" w:eastAsia="仿宋" w:hAnsi="仿宋" w:hint="eastAsia"/>
                <w:szCs w:val="24"/>
              </w:rPr>
              <w:t xml:space="preserve"> [法]孟德斯鸠：《论法的精神》，许明龙译，商务印书馆2012年版。</w:t>
            </w:r>
          </w:p>
          <w:p w:rsidR="003144F8" w:rsidRDefault="003144F8" w:rsidP="00823A11">
            <w:pPr>
              <w:ind w:left="360"/>
              <w:jc w:val="left"/>
              <w:rPr>
                <w:rFonts w:ascii="仿宋" w:eastAsia="仿宋" w:hAnsi="仿宋"/>
                <w:szCs w:val="24"/>
              </w:rPr>
            </w:pPr>
            <w:r>
              <w:rPr>
                <w:rFonts w:ascii="仿宋" w:eastAsia="仿宋" w:hAnsi="仿宋" w:hint="eastAsia"/>
                <w:szCs w:val="24"/>
              </w:rPr>
              <w:t>11. [法]托克维尔：《论美国的民主》，董果良译，商务印书馆1988年。</w:t>
            </w:r>
          </w:p>
          <w:p w:rsidR="003144F8" w:rsidRDefault="003144F8" w:rsidP="00823A11">
            <w:pPr>
              <w:ind w:left="360"/>
              <w:jc w:val="left"/>
              <w:rPr>
                <w:rFonts w:ascii="仿宋" w:eastAsia="仿宋" w:hAnsi="仿宋"/>
                <w:szCs w:val="24"/>
              </w:rPr>
            </w:pPr>
            <w:r>
              <w:rPr>
                <w:rFonts w:ascii="仿宋" w:eastAsia="仿宋" w:hAnsi="仿宋" w:hint="eastAsia"/>
                <w:szCs w:val="24"/>
              </w:rPr>
              <w:t>12. [英]密尔：《论自由》，顾肃译，译林出版社2010年。</w:t>
            </w:r>
          </w:p>
          <w:p w:rsidR="003144F8" w:rsidRDefault="003144F8" w:rsidP="00823A11">
            <w:pPr>
              <w:ind w:firstLineChars="200" w:firstLine="480"/>
              <w:rPr>
                <w:rFonts w:ascii="仿宋" w:eastAsia="仿宋" w:hAnsi="仿宋"/>
                <w:szCs w:val="24"/>
              </w:rPr>
            </w:pPr>
            <w:r>
              <w:rPr>
                <w:rFonts w:ascii="仿宋" w:eastAsia="仿宋" w:hAnsi="仿宋" w:hint="eastAsia"/>
                <w:szCs w:val="24"/>
              </w:rPr>
              <w:t>13. [奥] 凯尔森;《纯粹法理论》，张书友译，中国法制出版社2008年版。</w:t>
            </w:r>
          </w:p>
          <w:p w:rsidR="003144F8" w:rsidRDefault="003144F8" w:rsidP="00823A11">
            <w:pPr>
              <w:ind w:firstLineChars="200" w:firstLine="480"/>
              <w:rPr>
                <w:rFonts w:ascii="仿宋" w:eastAsia="仿宋" w:hAnsi="仿宋"/>
                <w:szCs w:val="24"/>
              </w:rPr>
            </w:pPr>
            <w:r>
              <w:rPr>
                <w:rFonts w:ascii="仿宋" w:eastAsia="仿宋" w:hAnsi="仿宋" w:hint="eastAsia"/>
                <w:szCs w:val="24"/>
              </w:rPr>
              <w:t>14. [美]施特劳斯：《自然权利与历史》，彭刚译，三联书店2006年。</w:t>
            </w:r>
          </w:p>
          <w:p w:rsidR="003144F8" w:rsidRDefault="003144F8" w:rsidP="00823A11">
            <w:pPr>
              <w:ind w:firstLineChars="200" w:firstLine="480"/>
              <w:rPr>
                <w:rFonts w:ascii="仿宋" w:eastAsia="仿宋" w:hAnsi="仿宋"/>
                <w:szCs w:val="24"/>
              </w:rPr>
            </w:pPr>
            <w:r>
              <w:rPr>
                <w:rFonts w:ascii="仿宋" w:eastAsia="仿宋" w:hAnsi="仿宋" w:hint="eastAsia"/>
                <w:szCs w:val="24"/>
              </w:rPr>
              <w:t>15.[英] 菲尼斯;《自然法与自然权利》，</w:t>
            </w:r>
            <w:hyperlink r:id="rId12" w:tgtFrame="_blank" w:history="1">
              <w:r>
                <w:rPr>
                  <w:rStyle w:val="a3"/>
                  <w:rFonts w:ascii="仿宋" w:eastAsia="仿宋" w:hAnsi="仿宋" w:hint="eastAsia"/>
                  <w:szCs w:val="24"/>
                </w:rPr>
                <w:t>董娇娇</w:t>
              </w:r>
            </w:hyperlink>
            <w:r>
              <w:rPr>
                <w:rFonts w:ascii="仿宋" w:eastAsia="仿宋" w:hAnsi="仿宋" w:hint="eastAsia"/>
                <w:szCs w:val="24"/>
              </w:rPr>
              <w:t xml:space="preserve"> 等译，中国政法大学出版社2005年版。</w:t>
            </w:r>
          </w:p>
          <w:p w:rsidR="003144F8" w:rsidRDefault="003144F8" w:rsidP="00823A11">
            <w:pPr>
              <w:ind w:firstLineChars="200" w:firstLine="482"/>
              <w:rPr>
                <w:rFonts w:ascii="仿宋" w:eastAsia="仿宋" w:hAnsi="仿宋"/>
                <w:b/>
                <w:szCs w:val="24"/>
              </w:rPr>
            </w:pPr>
            <w:r>
              <w:rPr>
                <w:rFonts w:ascii="仿宋" w:eastAsia="仿宋" w:hAnsi="仿宋" w:hint="eastAsia"/>
                <w:b/>
                <w:szCs w:val="24"/>
              </w:rPr>
              <w:t>外文文献</w:t>
            </w:r>
          </w:p>
          <w:p w:rsidR="003144F8" w:rsidRDefault="003144F8" w:rsidP="00823A11">
            <w:pPr>
              <w:ind w:firstLineChars="200" w:firstLine="480"/>
              <w:rPr>
                <w:rFonts w:ascii="仿宋" w:eastAsia="仿宋" w:hAnsi="仿宋"/>
                <w:szCs w:val="24"/>
              </w:rPr>
            </w:pPr>
            <w:r>
              <w:rPr>
                <w:rFonts w:ascii="仿宋" w:eastAsia="仿宋" w:hAnsi="仿宋" w:hint="eastAsia"/>
                <w:szCs w:val="24"/>
              </w:rPr>
              <w:t>16. Lon Fuller, The Morality of Law (revised ed., Yale University Press, London, 1969)</w:t>
            </w:r>
          </w:p>
          <w:p w:rsidR="003144F8" w:rsidRDefault="003144F8" w:rsidP="00823A11">
            <w:pPr>
              <w:ind w:firstLineChars="200" w:firstLine="480"/>
              <w:rPr>
                <w:rFonts w:ascii="仿宋" w:eastAsia="仿宋" w:hAnsi="仿宋"/>
                <w:szCs w:val="24"/>
              </w:rPr>
            </w:pPr>
            <w:r>
              <w:rPr>
                <w:rFonts w:ascii="仿宋" w:eastAsia="仿宋" w:hAnsi="仿宋" w:hint="eastAsia"/>
                <w:szCs w:val="24"/>
              </w:rPr>
              <w:t>17. Neil MacCormick, Legal reasoning and legal theory, Clarendon: Oxford University Press, 1978.</w:t>
            </w:r>
          </w:p>
          <w:p w:rsidR="003144F8" w:rsidRDefault="003144F8" w:rsidP="00823A11">
            <w:pPr>
              <w:ind w:firstLineChars="200" w:firstLine="480"/>
              <w:rPr>
                <w:rFonts w:ascii="仿宋" w:eastAsia="仿宋" w:hAnsi="仿宋"/>
                <w:szCs w:val="24"/>
              </w:rPr>
            </w:pPr>
            <w:r>
              <w:rPr>
                <w:rFonts w:ascii="仿宋" w:eastAsia="仿宋" w:hAnsi="仿宋" w:hint="eastAsia"/>
                <w:szCs w:val="24"/>
              </w:rPr>
              <w:t>18. Joseph Raz, The Authority of Law(Clarendon Press, Oxford, 1979)</w:t>
            </w:r>
          </w:p>
          <w:p w:rsidR="003144F8" w:rsidRDefault="003144F8" w:rsidP="00823A11">
            <w:pPr>
              <w:ind w:firstLineChars="200" w:firstLine="480"/>
              <w:rPr>
                <w:rFonts w:ascii="仿宋" w:eastAsia="仿宋" w:hAnsi="仿宋"/>
                <w:szCs w:val="24"/>
              </w:rPr>
            </w:pPr>
            <w:r>
              <w:rPr>
                <w:rFonts w:ascii="仿宋" w:eastAsia="仿宋" w:hAnsi="仿宋" w:hint="eastAsia"/>
                <w:szCs w:val="24"/>
              </w:rPr>
              <w:t>19. Martin P. Golding/William A. Edmunson(ed.), The Blackwell Guide to the Philosophy of Law and Legal Theory, Blackwell 2004.</w:t>
            </w:r>
          </w:p>
          <w:p w:rsidR="003144F8" w:rsidRDefault="003144F8" w:rsidP="00823A11">
            <w:pPr>
              <w:ind w:firstLineChars="200" w:firstLine="480"/>
              <w:rPr>
                <w:rFonts w:ascii="仿宋" w:eastAsia="仿宋" w:hAnsi="仿宋"/>
                <w:szCs w:val="24"/>
              </w:rPr>
            </w:pPr>
            <w:r>
              <w:rPr>
                <w:rFonts w:ascii="仿宋" w:eastAsia="仿宋" w:hAnsi="仿宋" w:hint="eastAsia"/>
                <w:szCs w:val="24"/>
              </w:rPr>
              <w:t>20.Jules Coleman/Scott Shapiro(ed.), Oxford Handbook of Jurisprudence and Philosophy of Law, Oxford University Press 2002.</w:t>
            </w:r>
          </w:p>
        </w:tc>
      </w:tr>
    </w:tbl>
    <w:p w:rsidR="003144F8" w:rsidRDefault="003144F8" w:rsidP="00823A11">
      <w:pPr>
        <w:spacing w:line="360" w:lineRule="auto"/>
        <w:ind w:left="482"/>
        <w:rPr>
          <w:rFonts w:ascii="Times New Roman" w:eastAsia="黑体" w:hAnsi="Times New Roman"/>
        </w:rPr>
      </w:pPr>
    </w:p>
    <w:p w:rsidR="00DD5FAA" w:rsidRDefault="00DD5FAA" w:rsidP="00823A11">
      <w:pPr>
        <w:spacing w:line="360" w:lineRule="auto"/>
        <w:rPr>
          <w:rFonts w:ascii="Times New Roman" w:eastAsia="黑体" w:hAnsi="Times New Roman"/>
        </w:rPr>
        <w:sectPr w:rsidR="00DD5FAA" w:rsidSect="00DD5FAA">
          <w:pgSz w:w="11906" w:h="16838"/>
          <w:pgMar w:top="1440" w:right="1800" w:bottom="1440" w:left="1800" w:header="851" w:footer="992" w:gutter="0"/>
          <w:cols w:space="425"/>
          <w:docGrid w:type="lines" w:linePitch="326"/>
        </w:sectPr>
      </w:pPr>
    </w:p>
    <w:p w:rsidR="003144F8" w:rsidRDefault="003144F8" w:rsidP="00823A11">
      <w:pPr>
        <w:spacing w:line="360" w:lineRule="auto"/>
        <w:ind w:left="482"/>
        <w:rPr>
          <w:rFonts w:ascii="Times New Roman" w:eastAsia="黑体" w:hAnsi="Times New Roman"/>
        </w:rPr>
      </w:pPr>
    </w:p>
    <w:p w:rsidR="003144F8" w:rsidRDefault="003144F8" w:rsidP="00823A11">
      <w:pPr>
        <w:spacing w:line="360" w:lineRule="auto"/>
        <w:ind w:left="482"/>
        <w:rPr>
          <w:rFonts w:ascii="Times New Roman" w:eastAsia="黑体" w:hAnsi="Times New Roman"/>
        </w:rPr>
      </w:pPr>
      <w:r>
        <w:rPr>
          <w:rFonts w:ascii="Times New Roman" w:eastAsia="黑体" w:hAnsi="Times New Roman" w:hint="eastAsia"/>
        </w:rPr>
        <w:t>五、课程设置、其他培养环节、教学计划与学分要求</w:t>
      </w:r>
    </w:p>
    <w:p w:rsidR="003144F8" w:rsidRDefault="003144F8" w:rsidP="00823A11">
      <w:pPr>
        <w:jc w:val="center"/>
        <w:rPr>
          <w:rFonts w:ascii="Times New Roman" w:eastAsia="黑体" w:hAnsi="Times New Roman"/>
        </w:rPr>
      </w:pPr>
      <w:r>
        <w:rPr>
          <w:rFonts w:ascii="Times New Roman" w:eastAsia="黑体" w:hAnsi="Times New Roman" w:hint="eastAsia"/>
        </w:rPr>
        <w:t>法学理论专业攻读硕士学位研究生</w:t>
      </w:r>
    </w:p>
    <w:p w:rsidR="003144F8" w:rsidRDefault="003144F8" w:rsidP="00823A11">
      <w:pPr>
        <w:jc w:val="center"/>
        <w:rPr>
          <w:rFonts w:ascii="Times New Roman" w:eastAsia="黑体" w:hAnsi="Times New Roman"/>
        </w:rPr>
      </w:pPr>
      <w:r>
        <w:rPr>
          <w:rFonts w:ascii="Times New Roman" w:eastAsia="黑体" w:hAnsi="Times New Roman" w:hint="eastAsia"/>
        </w:rPr>
        <w:t>课程设置、其他培养环节、教学计划与学分要求一览表</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557"/>
        <w:gridCol w:w="2271"/>
        <w:gridCol w:w="1482"/>
        <w:gridCol w:w="1700"/>
        <w:gridCol w:w="709"/>
        <w:gridCol w:w="709"/>
        <w:gridCol w:w="709"/>
        <w:gridCol w:w="992"/>
        <w:gridCol w:w="850"/>
        <w:gridCol w:w="2060"/>
      </w:tblGrid>
      <w:tr w:rsidR="003144F8" w:rsidTr="003144F8">
        <w:trPr>
          <w:trHeight w:val="1042"/>
          <w:jc w:val="center"/>
        </w:trPr>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类 别</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课程名称</w:t>
            </w: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课程门数</w:t>
            </w:r>
          </w:p>
        </w:tc>
        <w:tc>
          <w:tcPr>
            <w:tcW w:w="170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课程代码</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学分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学时</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开课</w:t>
            </w:r>
          </w:p>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学期</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教学</w:t>
            </w:r>
          </w:p>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方式</w:t>
            </w: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kern w:val="24"/>
                <w:szCs w:val="24"/>
              </w:rPr>
            </w:pPr>
            <w:r w:rsidRPr="00FC7E50">
              <w:rPr>
                <w:rFonts w:ascii="仿宋" w:eastAsia="仿宋" w:hAnsi="仿宋" w:hint="eastAsia"/>
                <w:kern w:val="24"/>
                <w:szCs w:val="24"/>
              </w:rPr>
              <w:t>考核</w:t>
            </w:r>
          </w:p>
          <w:p w:rsidR="003144F8" w:rsidRPr="00FC7E50" w:rsidRDefault="003144F8" w:rsidP="00823A11">
            <w:pPr>
              <w:ind w:left="-57" w:right="-57"/>
              <w:jc w:val="center"/>
              <w:rPr>
                <w:rFonts w:ascii="仿宋" w:eastAsia="仿宋" w:hAnsi="仿宋"/>
                <w:kern w:val="24"/>
                <w:szCs w:val="24"/>
              </w:rPr>
            </w:pPr>
            <w:r w:rsidRPr="00FC7E50">
              <w:rPr>
                <w:rFonts w:ascii="仿宋" w:eastAsia="仿宋" w:hAnsi="仿宋" w:hint="eastAsia"/>
                <w:kern w:val="24"/>
                <w:szCs w:val="24"/>
              </w:rPr>
              <w:t>方式</w:t>
            </w:r>
          </w:p>
        </w:tc>
        <w:tc>
          <w:tcPr>
            <w:tcW w:w="206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备  注</w:t>
            </w:r>
          </w:p>
        </w:tc>
      </w:tr>
      <w:tr w:rsidR="003144F8" w:rsidTr="003144F8">
        <w:trPr>
          <w:cantSplit/>
          <w:trHeight w:val="775"/>
          <w:jc w:val="center"/>
        </w:trPr>
        <w:tc>
          <w:tcPr>
            <w:tcW w:w="13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必修课程</w:t>
            </w:r>
          </w:p>
        </w:tc>
        <w:tc>
          <w:tcPr>
            <w:tcW w:w="155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144F8" w:rsidRPr="00FC7E50" w:rsidRDefault="003144F8" w:rsidP="00823A11">
            <w:pPr>
              <w:ind w:left="113" w:right="113"/>
              <w:jc w:val="center"/>
              <w:rPr>
                <w:rFonts w:ascii="仿宋" w:eastAsia="仿宋" w:hAnsi="仿宋"/>
                <w:szCs w:val="24"/>
              </w:rPr>
            </w:pPr>
            <w:r w:rsidRPr="00FC7E50">
              <w:rPr>
                <w:rFonts w:ascii="仿宋" w:eastAsia="仿宋" w:hAnsi="仿宋" w:hint="eastAsia"/>
                <w:szCs w:val="24"/>
              </w:rPr>
              <w:t>学位公共课</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adjustRightInd w:val="0"/>
              <w:snapToGrid w:val="0"/>
              <w:jc w:val="center"/>
              <w:rPr>
                <w:rFonts w:ascii="仿宋" w:eastAsia="仿宋" w:hAnsi="仿宋"/>
                <w:szCs w:val="24"/>
              </w:rPr>
            </w:pPr>
            <w:r w:rsidRPr="00FC7E50">
              <w:rPr>
                <w:rFonts w:ascii="仿宋" w:eastAsia="仿宋" w:hAnsi="仿宋" w:hint="eastAsia"/>
                <w:szCs w:val="24"/>
              </w:rPr>
              <w:t>中国特色社会主义理论与实践</w:t>
            </w: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adjustRightInd w:val="0"/>
              <w:snapToGrid w:val="0"/>
              <w:jc w:val="center"/>
              <w:rPr>
                <w:rFonts w:ascii="仿宋" w:eastAsia="仿宋" w:hAnsi="仿宋"/>
                <w:szCs w:val="24"/>
              </w:rPr>
            </w:pPr>
            <w:r w:rsidRPr="00FC7E50">
              <w:rPr>
                <w:rFonts w:ascii="仿宋" w:eastAsia="仿宋" w:hAnsi="仿宋" w:hint="eastAsia"/>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讲授</w:t>
            </w: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jc w:val="left"/>
              <w:rPr>
                <w:rFonts w:ascii="仿宋" w:eastAsia="仿宋" w:hAnsi="仿宋"/>
                <w:szCs w:val="24"/>
              </w:rPr>
            </w:pPr>
          </w:p>
        </w:tc>
      </w:tr>
      <w:tr w:rsidR="003144F8" w:rsidTr="003144F8">
        <w:trPr>
          <w:cantSplit/>
          <w:trHeight w:val="913"/>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napToGrid w:val="0"/>
              <w:jc w:val="center"/>
              <w:rPr>
                <w:rFonts w:ascii="仿宋" w:eastAsia="仿宋" w:hAnsi="仿宋"/>
                <w:szCs w:val="24"/>
              </w:rPr>
            </w:pPr>
            <w:r w:rsidRPr="00FC7E50">
              <w:rPr>
                <w:rFonts w:ascii="仿宋" w:eastAsia="仿宋" w:hAnsi="仿宋" w:hint="eastAsia"/>
                <w:szCs w:val="24"/>
              </w:rPr>
              <w:t>马克思主义与社会科学方法论</w:t>
            </w: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napToGrid w:val="0"/>
              <w:jc w:val="center"/>
              <w:rPr>
                <w:rFonts w:ascii="仿宋" w:eastAsia="仿宋" w:hAnsi="仿宋"/>
                <w:szCs w:val="24"/>
              </w:rPr>
            </w:pPr>
            <w:r w:rsidRPr="00FC7E50">
              <w:rPr>
                <w:rFonts w:ascii="仿宋" w:eastAsia="仿宋" w:hAnsi="仿宋" w:hint="eastAsia"/>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讲授</w:t>
            </w: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jc w:val="left"/>
              <w:rPr>
                <w:rFonts w:ascii="仿宋" w:eastAsia="仿宋" w:hAnsi="仿宋"/>
                <w:szCs w:val="24"/>
              </w:rPr>
            </w:pPr>
          </w:p>
        </w:tc>
      </w:tr>
      <w:tr w:rsidR="003144F8" w:rsidTr="003144F8">
        <w:trPr>
          <w:cantSplit/>
          <w:trHeight w:val="550"/>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基础外语</w:t>
            </w: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讲授</w:t>
            </w: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napToGrid w:val="0"/>
              <w:jc w:val="left"/>
              <w:rPr>
                <w:rFonts w:ascii="仿宋" w:eastAsia="仿宋" w:hAnsi="仿宋"/>
                <w:szCs w:val="24"/>
              </w:rPr>
            </w:pPr>
          </w:p>
        </w:tc>
      </w:tr>
      <w:tr w:rsidR="003144F8" w:rsidTr="003144F8">
        <w:trPr>
          <w:cantSplit/>
          <w:trHeight w:val="550"/>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711FD5" w:rsidP="00823A11">
            <w:pPr>
              <w:ind w:left="-57" w:right="-57"/>
              <w:jc w:val="center"/>
              <w:rPr>
                <w:rFonts w:ascii="仿宋" w:eastAsia="仿宋" w:hAnsi="仿宋"/>
                <w:szCs w:val="24"/>
              </w:rPr>
            </w:pPr>
            <w:r w:rsidRPr="00FC7E50">
              <w:rPr>
                <w:rFonts w:ascii="仿宋" w:eastAsia="仿宋" w:hAnsi="仿宋" w:hint="eastAsia"/>
                <w:szCs w:val="24"/>
              </w:rPr>
              <w:t>法学</w:t>
            </w:r>
            <w:r w:rsidR="003144F8" w:rsidRPr="00FC7E50">
              <w:rPr>
                <w:rFonts w:ascii="仿宋" w:eastAsia="仿宋" w:hAnsi="仿宋" w:hint="eastAsia"/>
                <w:szCs w:val="24"/>
              </w:rPr>
              <w:t>方法</w:t>
            </w:r>
            <w:r w:rsidRPr="00FC7E50">
              <w:rPr>
                <w:rFonts w:ascii="仿宋" w:eastAsia="仿宋" w:hAnsi="仿宋" w:hint="eastAsia"/>
                <w:szCs w:val="24"/>
              </w:rPr>
              <w:t>与论文写作</w:t>
            </w: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jc w:val="center"/>
              <w:rPr>
                <w:rFonts w:ascii="仿宋" w:eastAsia="仿宋" w:hAnsi="仿宋"/>
                <w:szCs w:val="24"/>
              </w:rPr>
            </w:pPr>
            <w:r w:rsidRPr="00FC7E50">
              <w:rPr>
                <w:rFonts w:ascii="仿宋" w:eastAsia="仿宋" w:hAnsi="仿宋" w:hint="eastAsia"/>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讲授</w:t>
            </w: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考试</w:t>
            </w:r>
          </w:p>
        </w:tc>
        <w:tc>
          <w:tcPr>
            <w:tcW w:w="206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napToGrid w:val="0"/>
              <w:jc w:val="left"/>
              <w:rPr>
                <w:rFonts w:ascii="仿宋" w:eastAsia="仿宋" w:hAnsi="仿宋"/>
                <w:szCs w:val="24"/>
              </w:rPr>
            </w:pPr>
            <w:r w:rsidRPr="00FC7E50">
              <w:rPr>
                <w:rFonts w:ascii="仿宋" w:eastAsia="仿宋" w:hAnsi="仿宋" w:hint="eastAsia"/>
                <w:szCs w:val="24"/>
              </w:rPr>
              <w:t>各学院开设</w:t>
            </w:r>
          </w:p>
        </w:tc>
      </w:tr>
      <w:tr w:rsidR="003144F8" w:rsidTr="003144F8">
        <w:trPr>
          <w:cantSplit/>
          <w:trHeight w:val="644"/>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学位基础课</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rPr>
                <w:rFonts w:ascii="仿宋" w:eastAsia="仿宋" w:hAnsi="仿宋"/>
                <w:szCs w:val="24"/>
              </w:rPr>
            </w:pPr>
            <w:r w:rsidRPr="00FC7E50">
              <w:rPr>
                <w:rFonts w:ascii="仿宋" w:eastAsia="仿宋" w:hAnsi="仿宋" w:hint="eastAsia"/>
                <w:szCs w:val="24"/>
              </w:rPr>
              <w:t>法理学前沿问题研究</w:t>
            </w: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Chars="-27" w:left="55" w:hangingChars="50" w:hanging="120"/>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考试</w:t>
            </w:r>
          </w:p>
        </w:tc>
        <w:tc>
          <w:tcPr>
            <w:tcW w:w="206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napToGrid w:val="0"/>
              <w:spacing w:line="400" w:lineRule="exact"/>
              <w:jc w:val="left"/>
              <w:rPr>
                <w:rFonts w:ascii="仿宋" w:eastAsia="仿宋" w:hAnsi="仿宋"/>
                <w:szCs w:val="24"/>
              </w:rPr>
            </w:pPr>
          </w:p>
        </w:tc>
      </w:tr>
      <w:tr w:rsidR="003144F8" w:rsidTr="003144F8">
        <w:trPr>
          <w:cantSplit/>
          <w:trHeight w:val="622"/>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学位专业课</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西方法哲学</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2-3</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jc w:val="center"/>
              <w:rPr>
                <w:rFonts w:ascii="仿宋" w:eastAsia="仿宋" w:hAnsi="仿宋"/>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6-9</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108-162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jc w:val="center"/>
              <w:rPr>
                <w:rFonts w:ascii="仿宋" w:eastAsia="仿宋" w:hAnsi="仿宋"/>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jc w:val="center"/>
              <w:rPr>
                <w:rFonts w:ascii="仿宋" w:eastAsia="仿宋" w:hAnsi="仿宋"/>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jc w:val="center"/>
              <w:rPr>
                <w:rFonts w:ascii="仿宋" w:eastAsia="仿宋" w:hAnsi="仿宋"/>
                <w:szCs w:val="24"/>
              </w:rPr>
            </w:pPr>
            <w:r w:rsidRPr="00FC7E50">
              <w:rPr>
                <w:rFonts w:ascii="仿宋" w:eastAsia="仿宋" w:hAnsi="仿宋" w:hint="eastAsia"/>
                <w:szCs w:val="24"/>
              </w:rPr>
              <w:t>考试</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adjustRightInd w:val="0"/>
              <w:snapToGrid w:val="0"/>
              <w:spacing w:line="400" w:lineRule="exact"/>
              <w:jc w:val="left"/>
              <w:rPr>
                <w:rFonts w:ascii="仿宋" w:eastAsia="仿宋" w:hAnsi="仿宋"/>
                <w:szCs w:val="24"/>
              </w:rPr>
            </w:pPr>
          </w:p>
        </w:tc>
      </w:tr>
      <w:tr w:rsidR="003144F8" w:rsidTr="003144F8">
        <w:trPr>
          <w:cantSplit/>
          <w:trHeight w:val="641"/>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法学方法论</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57" w:right="-57"/>
              <w:jc w:val="center"/>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8"/>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法社会学</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57" w:right="-57"/>
              <w:jc w:val="center"/>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800"/>
          <w:jc w:val="center"/>
        </w:trPr>
        <w:tc>
          <w:tcPr>
            <w:tcW w:w="13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144F8" w:rsidRPr="00FC7E50" w:rsidRDefault="003144F8" w:rsidP="00823A11">
            <w:pPr>
              <w:spacing w:line="240" w:lineRule="atLeast"/>
              <w:ind w:left="113" w:right="113"/>
              <w:jc w:val="center"/>
              <w:rPr>
                <w:rFonts w:ascii="仿宋" w:eastAsia="仿宋" w:hAnsi="仿宋"/>
                <w:szCs w:val="24"/>
              </w:rPr>
            </w:pPr>
            <w:r w:rsidRPr="00FC7E50">
              <w:rPr>
                <w:rFonts w:ascii="仿宋" w:eastAsia="仿宋" w:hAnsi="仿宋" w:hint="eastAsia"/>
                <w:szCs w:val="24"/>
              </w:rPr>
              <w:lastRenderedPageBreak/>
              <w:t>选修课程</w:t>
            </w:r>
          </w:p>
        </w:tc>
        <w:tc>
          <w:tcPr>
            <w:tcW w:w="1557"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zCs w:val="24"/>
              </w:rPr>
            </w:pPr>
            <w:r w:rsidRPr="00FC7E50">
              <w:rPr>
                <w:rFonts w:ascii="仿宋" w:eastAsia="仿宋" w:hAnsi="仿宋" w:hint="eastAsia"/>
                <w:spacing w:val="-8"/>
                <w:szCs w:val="24"/>
              </w:rPr>
              <w:t>专业限选课</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 xml:space="preserve">法律语言与逻辑  </w:t>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8"/>
            </w:tblGrid>
            <w:tr w:rsidR="003144F8" w:rsidRPr="00FC7E50">
              <w:trPr>
                <w:cantSplit/>
                <w:trHeight w:val="645"/>
                <w:jc w:val="center"/>
              </w:trPr>
              <w:tc>
                <w:tcPr>
                  <w:tcW w:w="1438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比较法总论</w:t>
                  </w:r>
                </w:p>
              </w:tc>
            </w:tr>
            <w:tr w:rsidR="003144F8" w:rsidRPr="00FC7E50">
              <w:trPr>
                <w:cantSplit/>
                <w:trHeight w:val="588"/>
                <w:jc w:val="center"/>
              </w:trPr>
              <w:tc>
                <w:tcPr>
                  <w:tcW w:w="1438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法律经济分析</w:t>
                  </w:r>
                </w:p>
              </w:tc>
            </w:tr>
          </w:tbl>
          <w:p w:rsidR="003144F8" w:rsidRPr="00FC7E50" w:rsidRDefault="003144F8" w:rsidP="00823A11">
            <w:pPr>
              <w:spacing w:line="400" w:lineRule="exact"/>
              <w:ind w:left="-57" w:right="-57"/>
              <w:jc w:val="center"/>
              <w:rPr>
                <w:rFonts w:ascii="仿宋" w:eastAsia="仿宋" w:hAnsi="仿宋"/>
                <w:szCs w:val="24"/>
              </w:rPr>
            </w:pPr>
          </w:p>
        </w:tc>
        <w:tc>
          <w:tcPr>
            <w:tcW w:w="1482"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jc w:val="center"/>
              <w:rPr>
                <w:rFonts w:ascii="仿宋" w:eastAsia="仿宋" w:hAnsi="仿宋"/>
                <w:szCs w:val="24"/>
              </w:rPr>
            </w:pPr>
            <w:r w:rsidRPr="00FC7E50">
              <w:rPr>
                <w:rFonts w:ascii="仿宋" w:eastAsia="仿宋" w:hAnsi="仿宋" w:hint="eastAsia"/>
                <w:szCs w:val="24"/>
              </w:rPr>
              <w:t>3</w:t>
            </w:r>
          </w:p>
        </w:tc>
        <w:tc>
          <w:tcPr>
            <w:tcW w:w="1700" w:type="dxa"/>
            <w:tcBorders>
              <w:top w:val="single" w:sz="4" w:space="0" w:color="auto"/>
              <w:left w:val="single" w:sz="4" w:space="0" w:color="auto"/>
              <w:bottom w:val="single" w:sz="4" w:space="0" w:color="auto"/>
              <w:right w:val="single" w:sz="4" w:space="0" w:color="auto"/>
            </w:tcBorders>
            <w:vAlign w:val="center"/>
            <w:hideMark/>
          </w:tcPr>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8"/>
            </w:tblGrid>
            <w:tr w:rsidR="003144F8" w:rsidRPr="00FC7E50">
              <w:trPr>
                <w:cantSplit/>
                <w:trHeight w:val="644"/>
                <w:jc w:val="center"/>
              </w:trPr>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57" w:right="-57"/>
                    <w:rPr>
                      <w:rFonts w:ascii="仿宋" w:eastAsia="仿宋" w:hAnsi="仿宋"/>
                      <w:szCs w:val="24"/>
                    </w:rPr>
                  </w:pPr>
                </w:p>
              </w:tc>
            </w:tr>
            <w:tr w:rsidR="003144F8" w:rsidRPr="00FC7E50">
              <w:trPr>
                <w:cantSplit/>
                <w:trHeight w:val="622"/>
                <w:jc w:val="center"/>
              </w:trPr>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400" w:lineRule="exact"/>
                    <w:ind w:left="-57" w:right="-57"/>
                    <w:rPr>
                      <w:rFonts w:ascii="仿宋" w:eastAsia="仿宋" w:hAnsi="仿宋"/>
                      <w:szCs w:val="24"/>
                    </w:rPr>
                  </w:pPr>
                </w:p>
              </w:tc>
            </w:tr>
            <w:tr w:rsidR="003144F8" w:rsidRPr="00FC7E50">
              <w:trPr>
                <w:cantSplit/>
                <w:trHeight w:val="641"/>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rPr>
                      <w:rFonts w:ascii="仿宋" w:eastAsia="仿宋" w:hAnsi="仿宋"/>
                      <w:szCs w:val="24"/>
                    </w:rPr>
                  </w:pPr>
                  <w:r w:rsidRPr="00FC7E50">
                    <w:rPr>
                      <w:rFonts w:ascii="仿宋" w:eastAsia="仿宋" w:hAnsi="仿宋" w:hint="eastAsia"/>
                      <w:szCs w:val="24"/>
                    </w:rPr>
                    <w:t>选</w:t>
                  </w:r>
                </w:p>
              </w:tc>
            </w:tr>
            <w:tr w:rsidR="003144F8" w:rsidRPr="00FC7E50">
              <w:trPr>
                <w:cantSplit/>
                <w:trHeight w:val="648"/>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400" w:lineRule="exact"/>
                    <w:ind w:left="-57" w:right="-57"/>
                    <w:rPr>
                      <w:rFonts w:ascii="仿宋" w:eastAsia="仿宋" w:hAnsi="仿宋"/>
                      <w:szCs w:val="24"/>
                    </w:rPr>
                  </w:pPr>
                  <w:r w:rsidRPr="00FC7E50">
                    <w:rPr>
                      <w:rFonts w:ascii="仿宋" w:eastAsia="仿宋" w:hAnsi="仿宋" w:hint="eastAsia"/>
                      <w:szCs w:val="24"/>
                    </w:rPr>
                    <w:t>限选</w:t>
                  </w:r>
                </w:p>
              </w:tc>
            </w:tr>
          </w:tbl>
          <w:p w:rsidR="003144F8" w:rsidRPr="00FC7E50" w:rsidRDefault="003144F8" w:rsidP="00823A11">
            <w:pPr>
              <w:spacing w:line="400" w:lineRule="exact"/>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firstLineChars="50" w:firstLine="120"/>
              <w:jc w:val="center"/>
              <w:rPr>
                <w:rFonts w:ascii="仿宋" w:eastAsia="仿宋" w:hAnsi="仿宋"/>
                <w:szCs w:val="24"/>
              </w:rPr>
            </w:pPr>
            <w:r w:rsidRPr="00FC7E50">
              <w:rPr>
                <w:rFonts w:ascii="仿宋" w:eastAsia="仿宋" w:hAnsi="仿宋" w:hint="eastAsia"/>
                <w:szCs w:val="24"/>
              </w:rPr>
              <w:t>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right="-57"/>
              <w:jc w:val="center"/>
              <w:rPr>
                <w:rFonts w:ascii="仿宋" w:eastAsia="仿宋" w:hAnsi="仿宋"/>
                <w:szCs w:val="24"/>
              </w:rPr>
            </w:pPr>
            <w:r w:rsidRPr="00FC7E50">
              <w:rPr>
                <w:rFonts w:ascii="仿宋" w:eastAsia="仿宋" w:hAnsi="仿宋" w:hint="eastAsia"/>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zCs w:val="24"/>
              </w:rPr>
            </w:pPr>
            <w:r w:rsidRPr="00FC7E50">
              <w:rPr>
                <w:rFonts w:ascii="仿宋" w:eastAsia="仿宋" w:hAnsi="仿宋" w:hint="eastAsia"/>
                <w:szCs w:val="24"/>
              </w:rPr>
              <w:t>考查</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adjustRightInd w:val="0"/>
              <w:snapToGrid w:val="0"/>
              <w:ind w:leftChars="-27" w:left="-65"/>
              <w:jc w:val="left"/>
              <w:rPr>
                <w:rFonts w:ascii="仿宋" w:eastAsia="仿宋" w:hAnsi="仿宋"/>
                <w:szCs w:val="24"/>
              </w:rPr>
            </w:pPr>
            <w:r w:rsidRPr="00FC7E50">
              <w:rPr>
                <w:rFonts w:ascii="仿宋" w:eastAsia="仿宋" w:hAnsi="仿宋" w:hint="eastAsia"/>
                <w:szCs w:val="24"/>
              </w:rPr>
              <w:t>应开出一定数量的课程供学生选修，每门课程36课时，2学分。</w:t>
            </w:r>
          </w:p>
          <w:p w:rsidR="003144F8" w:rsidRPr="00FC7E50" w:rsidRDefault="003144F8" w:rsidP="00823A11">
            <w:pPr>
              <w:adjustRightInd w:val="0"/>
              <w:snapToGrid w:val="0"/>
              <w:ind w:leftChars="-27" w:left="-65"/>
              <w:jc w:val="left"/>
              <w:rPr>
                <w:rFonts w:ascii="仿宋" w:eastAsia="仿宋" w:hAnsi="仿宋"/>
                <w:szCs w:val="24"/>
              </w:rPr>
            </w:pPr>
            <w:r w:rsidRPr="00FC7E50">
              <w:rPr>
                <w:rFonts w:ascii="仿宋" w:eastAsia="仿宋" w:hAnsi="仿宋" w:hint="eastAsia"/>
                <w:szCs w:val="24"/>
              </w:rPr>
              <w:t>所修选修课学分应不少于10学分。</w:t>
            </w:r>
          </w:p>
          <w:p w:rsidR="003144F8" w:rsidRPr="00FC7E50" w:rsidRDefault="003144F8" w:rsidP="00823A11">
            <w:pPr>
              <w:adjustRightInd w:val="0"/>
              <w:snapToGrid w:val="0"/>
              <w:ind w:right="-57"/>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jc w:val="center"/>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党规之治</w:t>
            </w:r>
          </w:p>
        </w:tc>
        <w:tc>
          <w:tcPr>
            <w:tcW w:w="1482"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德国法哲学概论（慕课）</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法律的经济分析</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立法学专题</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zCs w:val="24"/>
              </w:rPr>
              <w:t>中国民法总论</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pacing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zCs w:val="24"/>
              </w:rPr>
              <w:t>中国刑法总论</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pacing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政治学原理</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pacing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zCs w:val="24"/>
              </w:rPr>
              <w:t>经济学原理</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pacing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社会学方法</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pacing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西方哲学史</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pacing w:val="-8"/>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45"/>
          <w:jc w:val="center"/>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pacing w:val="-8"/>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center"/>
              <w:rPr>
                <w:rFonts w:ascii="仿宋" w:eastAsia="仿宋" w:hAnsi="仿宋"/>
                <w:spacing w:val="-8"/>
                <w:szCs w:val="24"/>
              </w:rPr>
            </w:pPr>
            <w:r w:rsidRPr="00FC7E50">
              <w:rPr>
                <w:rFonts w:ascii="仿宋" w:eastAsia="仿宋" w:hAnsi="仿宋" w:hint="eastAsia"/>
                <w:spacing w:val="-8"/>
                <w:szCs w:val="24"/>
              </w:rPr>
              <w:t>逻辑学导论</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ind w:left="-57" w:right="-57"/>
              <w:jc w:val="center"/>
              <w:rPr>
                <w:rFonts w:ascii="仿宋" w:eastAsia="仿宋" w:hAnsi="仿宋"/>
                <w:szCs w:val="24"/>
              </w:rPr>
            </w:pPr>
            <w:r w:rsidRPr="00FC7E50">
              <w:rPr>
                <w:rFonts w:ascii="仿宋" w:eastAsia="仿宋" w:hAnsi="仿宋" w:hint="eastAsia"/>
                <w:spacing w:val="-8"/>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leftChars="-27" w:left="-65"/>
              <w:jc w:val="center"/>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widowControl/>
              <w:jc w:val="left"/>
              <w:rPr>
                <w:rFonts w:ascii="仿宋" w:eastAsia="仿宋" w:hAnsi="仿宋"/>
                <w:szCs w:val="24"/>
              </w:rPr>
            </w:pPr>
          </w:p>
        </w:tc>
      </w:tr>
      <w:tr w:rsidR="003144F8" w:rsidTr="003144F8">
        <w:trPr>
          <w:cantSplit/>
          <w:trHeight w:val="690"/>
          <w:jc w:val="center"/>
        </w:trPr>
        <w:tc>
          <w:tcPr>
            <w:tcW w:w="29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jc w:val="center"/>
              <w:rPr>
                <w:rFonts w:ascii="仿宋" w:eastAsia="仿宋" w:hAnsi="仿宋"/>
                <w:szCs w:val="24"/>
              </w:rPr>
            </w:pPr>
            <w:r w:rsidRPr="00FC7E50">
              <w:rPr>
                <w:rFonts w:ascii="仿宋" w:eastAsia="仿宋" w:hAnsi="仿宋" w:hint="eastAsia"/>
                <w:szCs w:val="24"/>
              </w:rPr>
              <w:t>补修课程</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firstLineChars="200" w:firstLine="480"/>
              <w:jc w:val="center"/>
              <w:rPr>
                <w:rFonts w:ascii="仿宋" w:eastAsia="仿宋" w:hAnsi="仿宋"/>
                <w:szCs w:val="24"/>
              </w:rPr>
            </w:pPr>
            <w:r w:rsidRPr="00FC7E50">
              <w:rPr>
                <w:rFonts w:ascii="仿宋" w:eastAsia="仿宋" w:hAnsi="仿宋" w:hint="eastAsia"/>
                <w:szCs w:val="24"/>
              </w:rPr>
              <w:t>宪法学</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right="-57"/>
              <w:jc w:val="center"/>
              <w:rPr>
                <w:rFonts w:ascii="仿宋" w:eastAsia="仿宋" w:hAnsi="仿宋"/>
                <w:szCs w:val="24"/>
              </w:rPr>
            </w:pPr>
            <w:r w:rsidRPr="00FC7E50">
              <w:rPr>
                <w:rFonts w:ascii="仿宋" w:eastAsia="仿宋" w:hAnsi="仿宋" w:hint="eastAsia"/>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right="-57"/>
              <w:jc w:val="center"/>
              <w:rPr>
                <w:rFonts w:ascii="仿宋" w:eastAsia="仿宋" w:hAnsi="仿宋"/>
                <w:szCs w:val="24"/>
              </w:rPr>
            </w:pPr>
            <w:r w:rsidRPr="00FC7E50">
              <w:rPr>
                <w:rFonts w:ascii="仿宋" w:eastAsia="仿宋" w:hAnsi="仿宋" w:hint="eastAsia"/>
                <w:szCs w:val="24"/>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right="-57"/>
              <w:jc w:val="center"/>
              <w:rPr>
                <w:rFonts w:ascii="仿宋" w:eastAsia="仿宋" w:hAnsi="仿宋"/>
                <w:szCs w:val="24"/>
              </w:rPr>
            </w:pPr>
            <w:r w:rsidRPr="00FC7E50">
              <w:rPr>
                <w:rFonts w:ascii="仿宋" w:eastAsia="仿宋" w:hAnsi="仿宋" w:hint="eastAsia"/>
                <w:szCs w:val="24"/>
              </w:rPr>
              <w:t>72</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ind w:left="-57" w:right="-57"/>
              <w:jc w:val="center"/>
              <w:rPr>
                <w:rFonts w:ascii="仿宋" w:eastAsia="仿宋" w:hAnsi="仿宋"/>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144F8" w:rsidRPr="00FC7E50" w:rsidRDefault="003144F8" w:rsidP="00823A11">
            <w:pPr>
              <w:spacing w:line="240" w:lineRule="atLeast"/>
              <w:ind w:right="-57"/>
              <w:jc w:val="center"/>
              <w:rPr>
                <w:rFonts w:ascii="仿宋" w:eastAsia="仿宋" w:hAnsi="仿宋"/>
                <w:szCs w:val="24"/>
              </w:rPr>
            </w:pPr>
          </w:p>
        </w:t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rsidR="003144F8" w:rsidRPr="00FC7E50" w:rsidRDefault="003144F8" w:rsidP="00823A11">
            <w:pPr>
              <w:spacing w:line="240" w:lineRule="atLeast"/>
              <w:ind w:leftChars="-27" w:left="-65"/>
              <w:jc w:val="left"/>
              <w:rPr>
                <w:rFonts w:ascii="仿宋" w:eastAsia="仿宋" w:hAnsi="仿宋"/>
                <w:szCs w:val="24"/>
              </w:rPr>
            </w:pPr>
            <w:r w:rsidRPr="00FC7E50">
              <w:rPr>
                <w:rFonts w:ascii="仿宋" w:eastAsia="仿宋" w:hAnsi="仿宋" w:hint="eastAsia"/>
                <w:szCs w:val="24"/>
              </w:rPr>
              <w:t>学院安排跨学科或以同等学历考取的研究生补修有关课程，每门课36学时，各记2学分。</w:t>
            </w:r>
          </w:p>
        </w:tc>
      </w:tr>
      <w:tr w:rsidR="003144F8" w:rsidTr="003144F8">
        <w:trPr>
          <w:cantSplit/>
          <w:trHeight w:val="690"/>
          <w:jc w:val="center"/>
        </w:trPr>
        <w:tc>
          <w:tcPr>
            <w:tcW w:w="4464" w:type="dxa"/>
            <w:gridSpan w:val="2"/>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leftChars="-27" w:left="-65" w:firstLineChars="200" w:firstLine="480"/>
              <w:jc w:val="center"/>
              <w:rPr>
                <w:rFonts w:ascii="仿宋" w:eastAsia="仿宋" w:hAnsi="仿宋"/>
                <w:szCs w:val="24"/>
              </w:rPr>
            </w:pPr>
            <w:r>
              <w:rPr>
                <w:rFonts w:ascii="仿宋" w:eastAsia="仿宋" w:hAnsi="仿宋" w:hint="eastAsia"/>
                <w:szCs w:val="24"/>
              </w:rPr>
              <w:t>行政法学</w:t>
            </w: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r>
      <w:tr w:rsidR="003144F8" w:rsidTr="003144F8">
        <w:trPr>
          <w:cantSplit/>
          <w:trHeight w:val="450"/>
          <w:jc w:val="center"/>
        </w:trPr>
        <w:tc>
          <w:tcPr>
            <w:tcW w:w="290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144F8" w:rsidRDefault="003144F8" w:rsidP="00823A11">
            <w:pPr>
              <w:spacing w:line="240" w:lineRule="atLeast"/>
              <w:ind w:left="113" w:right="113"/>
              <w:jc w:val="center"/>
              <w:rPr>
                <w:rFonts w:ascii="仿宋" w:eastAsia="仿宋" w:hAnsi="仿宋"/>
                <w:szCs w:val="24"/>
              </w:rPr>
            </w:pPr>
            <w:r>
              <w:rPr>
                <w:rFonts w:ascii="仿宋" w:eastAsia="仿宋" w:hAnsi="仿宋" w:hint="eastAsia"/>
                <w:szCs w:val="24"/>
              </w:rPr>
              <w:lastRenderedPageBreak/>
              <w:t>其他培养环节</w:t>
            </w: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1.文献阅读与综述</w:t>
            </w:r>
          </w:p>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ascii="仿宋" w:eastAsia="仿宋" w:hAnsi="仿宋"/>
              </w:rPr>
            </w:pPr>
            <w:r>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3144F8" w:rsidRDefault="003144F8" w:rsidP="00823A11">
            <w:pPr>
              <w:ind w:firstLineChars="200" w:firstLine="480"/>
              <w:rPr>
                <w:rFonts w:ascii="仿宋" w:eastAsia="仿宋" w:hAnsi="仿宋"/>
              </w:rPr>
            </w:pPr>
            <w:r w:rsidRPr="00613826">
              <w:rPr>
                <w:rFonts w:ascii="仿宋" w:eastAsia="仿宋" w:hAnsi="仿宋" w:hint="eastAsia"/>
                <w:color w:val="FF0000"/>
                <w:highlight w:val="yellow"/>
              </w:rPr>
              <w:t>硕士研究生第1至第4学期，每学期精读专著不少于2本，具体书目由导师指定，可以通过读书报告或书评形式考核。</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leftChars="-27" w:left="-65"/>
              <w:jc w:val="left"/>
              <w:rPr>
                <w:rFonts w:ascii="仿宋" w:eastAsia="仿宋" w:hAnsi="仿宋"/>
                <w:szCs w:val="24"/>
              </w:rPr>
            </w:pPr>
            <w:r>
              <w:rPr>
                <w:rFonts w:ascii="仿宋" w:eastAsia="仿宋" w:hAnsi="仿宋" w:hint="eastAsia"/>
                <w:szCs w:val="24"/>
              </w:rPr>
              <w:t>硕士研究生所修学分不低于6学分。</w:t>
            </w:r>
          </w:p>
        </w:tc>
      </w:tr>
      <w:tr w:rsidR="003144F8" w:rsidTr="003144F8">
        <w:trPr>
          <w:cantSplit/>
          <w:trHeight w:val="1951"/>
          <w:jc w:val="center"/>
        </w:trPr>
        <w:tc>
          <w:tcPr>
            <w:tcW w:w="4464" w:type="dxa"/>
            <w:gridSpan w:val="2"/>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2.科研环节</w:t>
            </w:r>
          </w:p>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ascii="仿宋" w:eastAsia="仿宋" w:hAnsi="仿宋"/>
              </w:rPr>
            </w:pPr>
            <w:r>
              <w:rPr>
                <w:rFonts w:ascii="仿宋" w:eastAsia="仿宋" w:hAnsi="仿宋" w:hint="eastAsia"/>
              </w:rPr>
              <w:t>硕士研究生第1至第4学期，每学期应提交学期论文1篇，每篇不少于5000字。其中，第1、3学期的学期论文可以</w:t>
            </w:r>
            <w:r w:rsidRPr="0067496B">
              <w:rPr>
                <w:rFonts w:ascii="仿宋" w:eastAsia="仿宋" w:hAnsi="仿宋" w:hint="eastAsia"/>
                <w:color w:val="FF0000"/>
                <w:highlight w:val="yellow"/>
              </w:rPr>
              <w:t>以读书报告的形式提交</w:t>
            </w:r>
            <w:r>
              <w:rPr>
                <w:rFonts w:ascii="仿宋" w:eastAsia="仿宋" w:hAnsi="仿宋" w:hint="eastAsia"/>
              </w:rPr>
              <w:t>，报告篇幅不少于3000字。</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r>
      <w:tr w:rsidR="003144F8" w:rsidTr="003144F8">
        <w:trPr>
          <w:cantSplit/>
          <w:trHeight w:val="1951"/>
          <w:jc w:val="center"/>
        </w:trPr>
        <w:tc>
          <w:tcPr>
            <w:tcW w:w="4464" w:type="dxa"/>
            <w:gridSpan w:val="2"/>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leftChars="-27" w:left="-65"/>
              <w:jc w:val="center"/>
              <w:rPr>
                <w:rFonts w:ascii="仿宋" w:eastAsia="仿宋" w:hAnsi="仿宋"/>
                <w:szCs w:val="24"/>
              </w:rPr>
            </w:pPr>
            <w:r>
              <w:rPr>
                <w:rFonts w:ascii="仿宋" w:eastAsia="仿宋" w:hAnsi="仿宋" w:hint="eastAsia"/>
                <w:szCs w:val="24"/>
              </w:rPr>
              <w:t>3.社会实践</w:t>
            </w:r>
          </w:p>
          <w:p w:rsidR="003144F8" w:rsidRDefault="003144F8" w:rsidP="00823A11">
            <w:pPr>
              <w:spacing w:line="240" w:lineRule="atLeast"/>
              <w:ind w:leftChars="-27" w:left="-65"/>
              <w:jc w:val="center"/>
              <w:rPr>
                <w:rFonts w:ascii="仿宋" w:eastAsia="仿宋" w:hAnsi="仿宋"/>
                <w:szCs w:val="24"/>
              </w:rPr>
            </w:pPr>
            <w:r>
              <w:rPr>
                <w:rFonts w:ascii="仿宋" w:eastAsia="仿宋" w:hAnsi="仿宋" w:hint="eastAsia"/>
                <w:szCs w:val="24"/>
              </w:rPr>
              <w:t>（导师考核）</w:t>
            </w: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200" w:firstLine="480"/>
              <w:rPr>
                <w:rFonts w:ascii="仿宋" w:eastAsia="仿宋" w:hAnsi="仿宋"/>
              </w:rPr>
            </w:pPr>
            <w:r>
              <w:rPr>
                <w:rFonts w:ascii="仿宋" w:eastAsia="仿宋" w:hAnsi="仿宋" w:hint="eastAsia"/>
              </w:rPr>
              <w:t>研究生在完成学位课程学习并获得相应学分后，应参加为期不少于2个月的社会实践。社会实践可以通过专业实习、挂职锻炼、产学研基地联合培养和社会调查等走入社会的方式进行。</w:t>
            </w:r>
          </w:p>
          <w:p w:rsidR="003144F8" w:rsidRDefault="003144F8" w:rsidP="00823A11">
            <w:pPr>
              <w:ind w:firstLineChars="200" w:firstLine="480"/>
              <w:rPr>
                <w:rFonts w:ascii="仿宋" w:eastAsia="仿宋" w:hAnsi="仿宋"/>
              </w:rPr>
            </w:pPr>
            <w:r>
              <w:rPr>
                <w:rFonts w:ascii="仿宋" w:eastAsia="仿宋" w:hAnsi="仿宋" w:hint="eastAsia"/>
              </w:rPr>
              <w:t>各学科专业可以结合各学科专业特点和学生类型等情况，在实践内容和考核方式上提出具体要求（一般应提交实践单位鉴定意见和实践总结报告）。</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left="-57" w:right="-57"/>
              <w:jc w:val="center"/>
              <w:rPr>
                <w:rFonts w:ascii="仿宋" w:eastAsia="仿宋" w:hAnsi="仿宋"/>
                <w:szCs w:val="24"/>
              </w:rPr>
            </w:pPr>
            <w:r>
              <w:rPr>
                <w:rFonts w:ascii="仿宋" w:eastAsia="仿宋" w:hAnsi="仿宋" w:hint="eastAsia"/>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实践时间不少于2个月</w:t>
            </w: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ind w:left="-57" w:right="-57"/>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r>
      <w:tr w:rsidR="003144F8" w:rsidTr="003144F8">
        <w:trPr>
          <w:cantSplit/>
          <w:trHeight w:val="427"/>
          <w:jc w:val="center"/>
        </w:trPr>
        <w:tc>
          <w:tcPr>
            <w:tcW w:w="4464" w:type="dxa"/>
            <w:gridSpan w:val="2"/>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leftChars="-27" w:left="-65"/>
              <w:jc w:val="center"/>
              <w:rPr>
                <w:rFonts w:ascii="仿宋" w:eastAsia="仿宋" w:hAnsi="仿宋"/>
                <w:szCs w:val="24"/>
              </w:rPr>
            </w:pPr>
            <w:r>
              <w:rPr>
                <w:rFonts w:ascii="仿宋" w:eastAsia="仿宋" w:hAnsi="仿宋" w:hint="eastAsia"/>
                <w:szCs w:val="24"/>
              </w:rPr>
              <w:t>4.课题研究</w:t>
            </w:r>
          </w:p>
          <w:p w:rsidR="003144F8" w:rsidRDefault="003144F8" w:rsidP="00823A11">
            <w:pPr>
              <w:spacing w:line="240" w:lineRule="atLeast"/>
              <w:ind w:leftChars="-27" w:left="-65"/>
              <w:jc w:val="center"/>
              <w:rPr>
                <w:rFonts w:ascii="仿宋" w:eastAsia="仿宋" w:hAnsi="仿宋"/>
                <w:szCs w:val="24"/>
              </w:rPr>
            </w:pPr>
            <w:r>
              <w:rPr>
                <w:rFonts w:ascii="仿宋" w:eastAsia="仿宋" w:hAnsi="仿宋" w:hint="eastAsia"/>
                <w:szCs w:val="24"/>
              </w:rPr>
              <w:t>（导师考核）</w:t>
            </w:r>
          </w:p>
          <w:p w:rsidR="003144F8" w:rsidRDefault="003144F8" w:rsidP="00823A11">
            <w:pPr>
              <w:spacing w:line="240" w:lineRule="atLeast"/>
              <w:ind w:leftChars="-27" w:left="-65"/>
              <w:jc w:val="center"/>
              <w:rPr>
                <w:rFonts w:ascii="仿宋" w:eastAsia="仿宋" w:hAnsi="仿宋"/>
                <w:szCs w:val="24"/>
              </w:rPr>
            </w:pPr>
          </w:p>
        </w:tc>
        <w:tc>
          <w:tcPr>
            <w:tcW w:w="3182" w:type="dxa"/>
            <w:gridSpan w:val="2"/>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firstLineChars="150" w:firstLine="360"/>
              <w:rPr>
                <w:rFonts w:ascii="仿宋" w:eastAsia="仿宋" w:hAnsi="仿宋"/>
              </w:rPr>
            </w:pPr>
            <w:r>
              <w:rPr>
                <w:rFonts w:ascii="仿宋" w:eastAsia="仿宋" w:hAnsi="仿宋"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ind w:left="-57" w:right="-57"/>
              <w:jc w:val="center"/>
              <w:rPr>
                <w:rFonts w:ascii="仿宋" w:eastAsia="仿宋" w:hAnsi="仿宋"/>
                <w:szCs w:val="24"/>
              </w:rPr>
            </w:pPr>
            <w:r>
              <w:rPr>
                <w:rFonts w:ascii="仿宋" w:eastAsia="仿宋" w:hAnsi="仿宋" w:hint="eastAsia"/>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ind w:left="-57" w:right="-57"/>
              <w:jc w:val="center"/>
              <w:rPr>
                <w:rFonts w:ascii="仿宋" w:eastAsia="仿宋" w:hAnsi="仿宋"/>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right="-57"/>
              <w:jc w:val="center"/>
              <w:rPr>
                <w:rFonts w:ascii="仿宋" w:eastAsia="仿宋" w:hAnsi="仿宋"/>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44F8" w:rsidRDefault="003144F8" w:rsidP="00823A11">
            <w:pPr>
              <w:spacing w:line="240" w:lineRule="atLeast"/>
              <w:ind w:leftChars="-27" w:left="-65"/>
              <w:jc w:val="center"/>
              <w:rPr>
                <w:rFonts w:ascii="仿宋" w:eastAsia="仿宋" w:hAnsi="仿宋"/>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right="-57"/>
              <w:jc w:val="center"/>
              <w:rPr>
                <w:rFonts w:ascii="仿宋" w:eastAsia="仿宋" w:hAnsi="仿宋"/>
                <w:spacing w:val="-10"/>
                <w:szCs w:val="24"/>
              </w:rPr>
            </w:pPr>
            <w:r>
              <w:rPr>
                <w:rFonts w:ascii="仿宋" w:eastAsia="仿宋" w:hAnsi="仿宋" w:hint="eastAsia"/>
                <w:spacing w:val="-10"/>
                <w:szCs w:val="24"/>
              </w:rPr>
              <w:t>考查</w:t>
            </w: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widowControl/>
              <w:jc w:val="left"/>
              <w:rPr>
                <w:rFonts w:ascii="仿宋" w:eastAsia="仿宋" w:hAnsi="仿宋"/>
                <w:szCs w:val="24"/>
              </w:rPr>
            </w:pPr>
          </w:p>
        </w:tc>
      </w:tr>
      <w:tr w:rsidR="003144F8" w:rsidTr="003144F8">
        <w:trPr>
          <w:cantSplit/>
          <w:trHeight w:val="300"/>
          <w:jc w:val="center"/>
        </w:trPr>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jc w:val="center"/>
              <w:rPr>
                <w:rFonts w:ascii="仿宋" w:eastAsia="仿宋" w:hAnsi="仿宋"/>
                <w:szCs w:val="24"/>
              </w:rPr>
            </w:pPr>
            <w:r>
              <w:rPr>
                <w:rFonts w:ascii="仿宋" w:eastAsia="仿宋" w:hAnsi="仿宋" w:hint="eastAsia"/>
                <w:szCs w:val="24"/>
              </w:rPr>
              <w:lastRenderedPageBreak/>
              <w:t>合计</w:t>
            </w:r>
          </w:p>
        </w:tc>
        <w:tc>
          <w:tcPr>
            <w:tcW w:w="11482" w:type="dxa"/>
            <w:gridSpan w:val="9"/>
            <w:tcBorders>
              <w:top w:val="single" w:sz="4" w:space="0" w:color="auto"/>
              <w:left w:val="single" w:sz="4" w:space="0" w:color="auto"/>
              <w:bottom w:val="single" w:sz="4" w:space="0" w:color="auto"/>
              <w:right w:val="single" w:sz="4" w:space="0" w:color="auto"/>
            </w:tcBorders>
            <w:vAlign w:val="center"/>
            <w:hideMark/>
          </w:tcPr>
          <w:p w:rsidR="003144F8" w:rsidRDefault="003144F8" w:rsidP="00823A11">
            <w:pPr>
              <w:spacing w:line="240" w:lineRule="atLeast"/>
              <w:ind w:leftChars="-27" w:left="-65" w:firstLineChars="200" w:firstLine="480"/>
              <w:jc w:val="left"/>
              <w:rPr>
                <w:rFonts w:ascii="仿宋" w:eastAsia="仿宋" w:hAnsi="仿宋"/>
                <w:szCs w:val="24"/>
              </w:rPr>
            </w:pPr>
            <w:r>
              <w:rPr>
                <w:rFonts w:ascii="仿宋" w:eastAsia="仿宋" w:hAnsi="仿宋" w:hint="eastAsia"/>
                <w:szCs w:val="24"/>
              </w:rPr>
              <w:t>课程学分不低于28学分（跨学科和同等学历考取的硕士研究生课程学分不低于32学分），其他培养环节学分不低于6学分。</w:t>
            </w:r>
          </w:p>
        </w:tc>
      </w:tr>
    </w:tbl>
    <w:p w:rsidR="00E714D2" w:rsidRPr="003144F8" w:rsidRDefault="00E714D2" w:rsidP="00823A11"/>
    <w:sectPr w:rsidR="00E714D2" w:rsidRPr="003144F8" w:rsidSect="00DD5FAA">
      <w:pgSz w:w="16838" w:h="11906" w:orient="landscape" w:code="9"/>
      <w:pgMar w:top="1797" w:right="1440" w:bottom="1797" w:left="1440"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4C" w:rsidRDefault="0050474C" w:rsidP="00FC7E50">
      <w:r>
        <w:separator/>
      </w:r>
    </w:p>
  </w:endnote>
  <w:endnote w:type="continuationSeparator" w:id="0">
    <w:p w:rsidR="0050474C" w:rsidRDefault="0050474C" w:rsidP="00FC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4C" w:rsidRDefault="0050474C" w:rsidP="00FC7E50">
      <w:r>
        <w:separator/>
      </w:r>
    </w:p>
  </w:footnote>
  <w:footnote w:type="continuationSeparator" w:id="0">
    <w:p w:rsidR="0050474C" w:rsidRDefault="0050474C" w:rsidP="00FC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6FDE"/>
    <w:multiLevelType w:val="hybridMultilevel"/>
    <w:tmpl w:val="209A04CA"/>
    <w:lvl w:ilvl="0" w:tplc="ABFED7AA">
      <w:start w:val="1"/>
      <w:numFmt w:val="decimal"/>
      <w:lvlText w:val="%1."/>
      <w:lvlJc w:val="left"/>
      <w:pPr>
        <w:ind w:left="842" w:hanging="36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 w15:restartNumberingAfterBreak="0">
    <w:nsid w:val="7508769F"/>
    <w:multiLevelType w:val="hybridMultilevel"/>
    <w:tmpl w:val="E4C86D00"/>
    <w:lvl w:ilvl="0" w:tplc="D960F594">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F8"/>
    <w:rsid w:val="003144F8"/>
    <w:rsid w:val="00404FB6"/>
    <w:rsid w:val="004D715F"/>
    <w:rsid w:val="0050474C"/>
    <w:rsid w:val="00613826"/>
    <w:rsid w:val="0067496B"/>
    <w:rsid w:val="00711FD5"/>
    <w:rsid w:val="00823A11"/>
    <w:rsid w:val="00DD5FAA"/>
    <w:rsid w:val="00E714D2"/>
    <w:rsid w:val="00EC07F0"/>
    <w:rsid w:val="00FC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9722"/>
  <w15:chartTrackingRefBased/>
  <w15:docId w15:val="{5B47B6AE-CF80-4A65-B418-C499D3A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4F8"/>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3144F8"/>
    <w:pPr>
      <w:keepNext/>
      <w:keepLines/>
      <w:spacing w:before="240" w:after="240" w:line="360" w:lineRule="auto"/>
      <w:jc w:val="center"/>
      <w:outlineLvl w:val="1"/>
    </w:pPr>
    <w:rPr>
      <w:rFonts w:ascii="Calibri Light" w:eastAsia="黑体" w:hAnsi="Calibri Light" w:cs="宋体"/>
      <w:bCs/>
      <w:kern w:val="0"/>
      <w:sz w:val="32"/>
      <w:szCs w:val="32"/>
      <w:lang w:val="x-none" w:eastAsia="x-none"/>
    </w:rPr>
  </w:style>
  <w:style w:type="paragraph" w:styleId="4">
    <w:name w:val="heading 4"/>
    <w:basedOn w:val="a"/>
    <w:next w:val="a"/>
    <w:link w:val="40"/>
    <w:semiHidden/>
    <w:unhideWhenUsed/>
    <w:qFormat/>
    <w:rsid w:val="003144F8"/>
    <w:pPr>
      <w:keepNext/>
      <w:keepLines/>
      <w:spacing w:before="280" w:after="290" w:line="374" w:lineRule="auto"/>
      <w:outlineLvl w:val="3"/>
    </w:pPr>
    <w:rPr>
      <w:rFonts w:ascii="Calibri Light" w:eastAsia="宋体" w:hAnsi="Calibri Light"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144F8"/>
    <w:rPr>
      <w:rFonts w:ascii="Calibri Light" w:eastAsia="黑体" w:hAnsi="Calibri Light" w:cs="宋体"/>
      <w:bCs/>
      <w:kern w:val="0"/>
      <w:sz w:val="32"/>
      <w:szCs w:val="32"/>
      <w:lang w:val="x-none" w:eastAsia="x-none"/>
    </w:rPr>
  </w:style>
  <w:style w:type="character" w:customStyle="1" w:styleId="40">
    <w:name w:val="标题 4 字符"/>
    <w:basedOn w:val="a0"/>
    <w:link w:val="4"/>
    <w:semiHidden/>
    <w:qFormat/>
    <w:rsid w:val="003144F8"/>
    <w:rPr>
      <w:rFonts w:ascii="Calibri Light" w:eastAsia="宋体" w:hAnsi="Calibri Light" w:cs="宋体"/>
      <w:b/>
      <w:bCs/>
      <w:kern w:val="0"/>
      <w:sz w:val="28"/>
      <w:szCs w:val="28"/>
      <w:lang w:val="x-none" w:eastAsia="x-none"/>
    </w:rPr>
  </w:style>
  <w:style w:type="character" w:customStyle="1" w:styleId="t12">
    <w:name w:val="t12"/>
    <w:basedOn w:val="a0"/>
    <w:rsid w:val="003144F8"/>
  </w:style>
  <w:style w:type="character" w:styleId="a3">
    <w:name w:val="Hyperlink"/>
    <w:basedOn w:val="a0"/>
    <w:uiPriority w:val="99"/>
    <w:semiHidden/>
    <w:unhideWhenUsed/>
    <w:rsid w:val="003144F8"/>
    <w:rPr>
      <w:color w:val="0000FF"/>
      <w:u w:val="single"/>
    </w:rPr>
  </w:style>
  <w:style w:type="paragraph" w:styleId="a4">
    <w:name w:val="Balloon Text"/>
    <w:basedOn w:val="a"/>
    <w:link w:val="a5"/>
    <w:uiPriority w:val="99"/>
    <w:semiHidden/>
    <w:unhideWhenUsed/>
    <w:rsid w:val="00DD5FAA"/>
    <w:rPr>
      <w:sz w:val="18"/>
      <w:szCs w:val="18"/>
    </w:rPr>
  </w:style>
  <w:style w:type="character" w:customStyle="1" w:styleId="a5">
    <w:name w:val="批注框文本 字符"/>
    <w:basedOn w:val="a0"/>
    <w:link w:val="a4"/>
    <w:uiPriority w:val="99"/>
    <w:semiHidden/>
    <w:rsid w:val="00DD5FAA"/>
    <w:rPr>
      <w:rFonts w:ascii="Calibri" w:eastAsia="仿宋_GB2312" w:hAnsi="Calibri" w:cs="Times New Roman"/>
      <w:sz w:val="18"/>
      <w:szCs w:val="18"/>
    </w:rPr>
  </w:style>
  <w:style w:type="paragraph" w:styleId="a6">
    <w:name w:val="header"/>
    <w:basedOn w:val="a"/>
    <w:link w:val="a7"/>
    <w:uiPriority w:val="99"/>
    <w:unhideWhenUsed/>
    <w:rsid w:val="00FC7E5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C7E50"/>
    <w:rPr>
      <w:rFonts w:ascii="Calibri" w:eastAsia="仿宋_GB2312" w:hAnsi="Calibri" w:cs="Times New Roman"/>
      <w:sz w:val="18"/>
      <w:szCs w:val="18"/>
    </w:rPr>
  </w:style>
  <w:style w:type="paragraph" w:styleId="a8">
    <w:name w:val="footer"/>
    <w:basedOn w:val="a"/>
    <w:link w:val="a9"/>
    <w:uiPriority w:val="99"/>
    <w:unhideWhenUsed/>
    <w:rsid w:val="00FC7E50"/>
    <w:pPr>
      <w:tabs>
        <w:tab w:val="center" w:pos="4153"/>
        <w:tab w:val="right" w:pos="8306"/>
      </w:tabs>
      <w:snapToGrid w:val="0"/>
      <w:jc w:val="left"/>
    </w:pPr>
    <w:rPr>
      <w:sz w:val="18"/>
      <w:szCs w:val="18"/>
    </w:rPr>
  </w:style>
  <w:style w:type="character" w:customStyle="1" w:styleId="a9">
    <w:name w:val="页脚 字符"/>
    <w:basedOn w:val="a0"/>
    <w:link w:val="a8"/>
    <w:uiPriority w:val="99"/>
    <w:rsid w:val="00FC7E50"/>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author/%C0%E8%CB%BC%B8%B4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jd.com/writer/&#33891;&#23047;&#23047;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30655;&#33738;&#20892;&amp;medium=01&amp;category_path=01.00.00.00.00.00" TargetMode="External"/><Relationship Id="rId5" Type="http://schemas.openxmlformats.org/officeDocument/2006/relationships/webSettings" Target="webSettings.xml"/><Relationship Id="rId10" Type="http://schemas.openxmlformats.org/officeDocument/2006/relationships/hyperlink" Target="http://search.dangdang.com/?key2=&#21494;&#21551;&#33459;&amp;medium=01&amp;category_path=01.00.00.00.00.00" TargetMode="External"/><Relationship Id="rId4" Type="http://schemas.openxmlformats.org/officeDocument/2006/relationships/settings" Target="settings.xml"/><Relationship Id="rId9" Type="http://schemas.openxmlformats.org/officeDocument/2006/relationships/hyperlink" Target="http://www.dangdang.com/author/%C0%E8%CD%A2%E5%F6_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145F-F7F2-4346-B9D5-B8A143A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816</Words>
  <Characters>4654</Characters>
  <Application>Microsoft Office Word</Application>
  <DocSecurity>0</DocSecurity>
  <Lines>38</Lines>
  <Paragraphs>10</Paragraphs>
  <ScaleCrop>false</ScaleCrop>
  <Company>Microsoft</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9</cp:revision>
  <cp:lastPrinted>2016-11-18T07:08:00Z</cp:lastPrinted>
  <dcterms:created xsi:type="dcterms:W3CDTF">2016-11-18T03:43:00Z</dcterms:created>
  <dcterms:modified xsi:type="dcterms:W3CDTF">2018-05-12T09:44:00Z</dcterms:modified>
</cp:coreProperties>
</file>