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124" w:type="dxa"/>
        <w:tblLayout w:type="fixed"/>
        <w:tblLook w:val="04A0" w:firstRow="1" w:lastRow="0" w:firstColumn="1" w:lastColumn="0" w:noHBand="0" w:noVBand="1"/>
      </w:tblPr>
      <w:tblGrid>
        <w:gridCol w:w="1871"/>
        <w:gridCol w:w="1498"/>
        <w:gridCol w:w="1559"/>
        <w:gridCol w:w="1984"/>
        <w:gridCol w:w="2212"/>
      </w:tblGrid>
      <w:tr w:rsidR="00590F68" w:rsidRPr="00590F68" w:rsidTr="00953139">
        <w:trPr>
          <w:trHeight w:val="1266"/>
        </w:trPr>
        <w:tc>
          <w:tcPr>
            <w:tcW w:w="9124" w:type="dxa"/>
            <w:gridSpan w:val="5"/>
          </w:tcPr>
          <w:p w:rsidR="00295820" w:rsidRPr="00590F68" w:rsidRDefault="00295820" w:rsidP="00D10620">
            <w:pPr>
              <w:ind w:firstLineChars="400" w:firstLine="1280"/>
              <w:rPr>
                <w:rFonts w:ascii="黑体" w:eastAsia="黑体" w:hAnsi="黑体" w:cs="Times New Roman"/>
                <w:bCs/>
                <w:sz w:val="32"/>
                <w:szCs w:val="32"/>
              </w:rPr>
            </w:pPr>
            <w:r w:rsidRPr="00590F68">
              <w:rPr>
                <w:rFonts w:ascii="黑体" w:eastAsia="黑体" w:hAnsi="黑体" w:cs="Times New Roman" w:hint="eastAsia"/>
                <w:bCs/>
                <w:sz w:val="32"/>
                <w:szCs w:val="32"/>
              </w:rPr>
              <w:t>法律</w:t>
            </w:r>
            <w:r w:rsidR="007923B9" w:rsidRPr="00590F68">
              <w:rPr>
                <w:rFonts w:ascii="黑体" w:eastAsia="黑体" w:hAnsi="黑体" w:cs="Times New Roman" w:hint="eastAsia"/>
                <w:bCs/>
                <w:sz w:val="32"/>
                <w:szCs w:val="32"/>
              </w:rPr>
              <w:t>（法学）</w:t>
            </w:r>
            <w:r w:rsidRPr="00590F68">
              <w:rPr>
                <w:rFonts w:ascii="黑体" w:eastAsia="黑体" w:hAnsi="黑体" w:cs="Times New Roman" w:hint="eastAsia"/>
                <w:bCs/>
                <w:sz w:val="32"/>
                <w:szCs w:val="32"/>
              </w:rPr>
              <w:t>卫生法方向硕士专业学位研究生培养方案</w:t>
            </w:r>
          </w:p>
          <w:p w:rsidR="00295820" w:rsidRPr="00590F68" w:rsidRDefault="00295820" w:rsidP="00D10620">
            <w:pPr>
              <w:ind w:firstLineChars="945" w:firstLine="3024"/>
            </w:pPr>
            <w:r w:rsidRPr="00590F68">
              <w:rPr>
                <w:rFonts w:ascii="黑体" w:eastAsia="黑体" w:hAnsi="黑体" w:cs="Times New Roman" w:hint="eastAsia"/>
                <w:bCs/>
                <w:sz w:val="32"/>
                <w:szCs w:val="32"/>
              </w:rPr>
              <w:t>（专业代码：0351</w:t>
            </w:r>
            <w:r w:rsidR="007923B9" w:rsidRPr="00590F68">
              <w:rPr>
                <w:rFonts w:ascii="黑体" w:eastAsia="黑体" w:hAnsi="黑体" w:cs="Times New Roman"/>
                <w:bCs/>
                <w:sz w:val="32"/>
                <w:szCs w:val="32"/>
              </w:rPr>
              <w:t>02</w:t>
            </w:r>
            <w:r w:rsidRPr="00590F68">
              <w:rPr>
                <w:rFonts w:ascii="黑体" w:eastAsia="黑体" w:hAnsi="黑体" w:cs="Times New Roman" w:hint="eastAsia"/>
                <w:bCs/>
                <w:sz w:val="32"/>
                <w:szCs w:val="32"/>
              </w:rPr>
              <w:t>）</w:t>
            </w:r>
          </w:p>
        </w:tc>
      </w:tr>
      <w:tr w:rsidR="00590F68" w:rsidRPr="00590F68" w:rsidTr="00D10620">
        <w:trPr>
          <w:trHeight w:val="340"/>
        </w:trPr>
        <w:tc>
          <w:tcPr>
            <w:tcW w:w="1871" w:type="dxa"/>
          </w:tcPr>
          <w:p w:rsidR="00295820" w:rsidRPr="00590F68" w:rsidRDefault="00295820" w:rsidP="00D10620">
            <w:pPr>
              <w:jc w:val="center"/>
              <w:rPr>
                <w:rFonts w:ascii="黑体" w:eastAsia="黑体" w:hAnsi="黑体"/>
                <w:sz w:val="24"/>
                <w:szCs w:val="24"/>
              </w:rPr>
            </w:pPr>
          </w:p>
          <w:p w:rsidR="006C2DF5" w:rsidRPr="00590F68" w:rsidRDefault="006C2DF5" w:rsidP="00D10620">
            <w:pPr>
              <w:jc w:val="center"/>
              <w:rPr>
                <w:rFonts w:ascii="黑体" w:eastAsia="黑体" w:hAnsi="黑体"/>
                <w:sz w:val="24"/>
                <w:szCs w:val="24"/>
              </w:rPr>
            </w:pPr>
          </w:p>
          <w:p w:rsidR="00295820" w:rsidRPr="00590F68" w:rsidRDefault="00295820" w:rsidP="00D10620">
            <w:pPr>
              <w:jc w:val="center"/>
              <w:rPr>
                <w:rFonts w:ascii="黑体" w:eastAsia="黑体" w:hAnsi="黑体"/>
                <w:sz w:val="24"/>
                <w:szCs w:val="24"/>
              </w:rPr>
            </w:pPr>
            <w:r w:rsidRPr="00590F68">
              <w:rPr>
                <w:rFonts w:ascii="黑体" w:eastAsia="黑体" w:hAnsi="黑体" w:hint="eastAsia"/>
                <w:sz w:val="24"/>
                <w:szCs w:val="24"/>
              </w:rPr>
              <w:t>一、学科、专业简介</w:t>
            </w:r>
          </w:p>
        </w:tc>
        <w:tc>
          <w:tcPr>
            <w:tcW w:w="7253" w:type="dxa"/>
            <w:gridSpan w:val="4"/>
          </w:tcPr>
          <w:p w:rsidR="00295820" w:rsidRPr="00590F68" w:rsidRDefault="00295820" w:rsidP="00AA6F7C">
            <w:pPr>
              <w:pStyle w:val="a9"/>
              <w:ind w:firstLineChars="150" w:firstLine="360"/>
              <w:jc w:val="left"/>
              <w:rPr>
                <w:rFonts w:ascii="仿宋" w:eastAsia="仿宋" w:hAnsi="仿宋"/>
                <w:szCs w:val="24"/>
              </w:rPr>
            </w:pPr>
            <w:r w:rsidRPr="00590F68">
              <w:rPr>
                <w:rFonts w:ascii="仿宋" w:eastAsia="仿宋" w:hAnsi="仿宋" w:hint="eastAsia"/>
              </w:rPr>
              <w:t>卫生法方向法律硕士专业学位是具有特定法律职业背景的专业学位，主要培养卫生立法、司法、行政执法、法律服务，以及相关行业领域所需要的高层次的复合型、应用型法律人才。重点研究医事法、药事法、公共卫生法等领域的理论、实务问题，为卫生法学发展做出贡献。</w:t>
            </w:r>
          </w:p>
        </w:tc>
      </w:tr>
      <w:tr w:rsidR="00590F68" w:rsidRPr="00590F68" w:rsidTr="00D10620">
        <w:trPr>
          <w:trHeight w:val="1985"/>
        </w:trPr>
        <w:tc>
          <w:tcPr>
            <w:tcW w:w="1871" w:type="dxa"/>
          </w:tcPr>
          <w:p w:rsidR="00295820" w:rsidRPr="00590F68" w:rsidRDefault="00295820" w:rsidP="006C2DF5">
            <w:pPr>
              <w:jc w:val="center"/>
              <w:rPr>
                <w:sz w:val="24"/>
                <w:szCs w:val="24"/>
              </w:rPr>
            </w:pPr>
          </w:p>
          <w:p w:rsidR="00295820" w:rsidRPr="00590F68" w:rsidRDefault="00295820" w:rsidP="006C2DF5">
            <w:pPr>
              <w:jc w:val="center"/>
              <w:rPr>
                <w:sz w:val="24"/>
                <w:szCs w:val="24"/>
              </w:rPr>
            </w:pPr>
          </w:p>
          <w:p w:rsidR="00295820" w:rsidRPr="00590F68" w:rsidRDefault="00295820"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r w:rsidRPr="00590F68">
              <w:rPr>
                <w:rFonts w:ascii="黑体" w:eastAsia="黑体" w:hAnsi="黑体" w:hint="eastAsia"/>
                <w:sz w:val="24"/>
                <w:szCs w:val="24"/>
              </w:rPr>
              <w:t>二、培养目标</w:t>
            </w:r>
          </w:p>
        </w:tc>
        <w:tc>
          <w:tcPr>
            <w:tcW w:w="7253" w:type="dxa"/>
            <w:gridSpan w:val="4"/>
          </w:tcPr>
          <w:p w:rsidR="00295820" w:rsidRPr="00590F68" w:rsidRDefault="00295820" w:rsidP="00496CC5">
            <w:pPr>
              <w:ind w:firstLineChars="150" w:firstLine="360"/>
              <w:rPr>
                <w:rFonts w:ascii="仿宋" w:eastAsia="仿宋" w:hAnsi="仿宋" w:cs="Times New Roman"/>
                <w:sz w:val="24"/>
                <w:szCs w:val="24"/>
              </w:rPr>
            </w:pPr>
            <w:r w:rsidRPr="00590F68">
              <w:rPr>
                <w:rFonts w:ascii="仿宋" w:eastAsia="仿宋" w:hAnsi="仿宋" w:cs="Times New Roman" w:hint="eastAsia"/>
                <w:sz w:val="24"/>
                <w:szCs w:val="24"/>
              </w:rPr>
              <w:t>为适应依法治国的需要，培养具有社会主义法治理念、德才兼备，知识、能力、素养全面发展，能够独立从事卫生法学专业理论研究和实务工作的应用型高级专门人才。</w:t>
            </w:r>
          </w:p>
          <w:p w:rsidR="00295820" w:rsidRPr="00590F68" w:rsidRDefault="00295820" w:rsidP="00295820">
            <w:pPr>
              <w:ind w:firstLineChars="200" w:firstLine="480"/>
              <w:rPr>
                <w:rFonts w:ascii="仿宋" w:eastAsia="仿宋" w:hAnsi="仿宋" w:cs="Times New Roman"/>
                <w:sz w:val="24"/>
                <w:szCs w:val="24"/>
              </w:rPr>
            </w:pPr>
            <w:r w:rsidRPr="00590F68">
              <w:rPr>
                <w:rFonts w:ascii="仿宋" w:eastAsia="仿宋" w:hAnsi="仿宋" w:cs="Times New Roman" w:hint="eastAsia"/>
                <w:sz w:val="24"/>
                <w:szCs w:val="24"/>
              </w:rPr>
              <w:t>具体要求：</w:t>
            </w:r>
          </w:p>
          <w:p w:rsidR="00295820" w:rsidRPr="00590F68" w:rsidRDefault="00295820" w:rsidP="00295820">
            <w:pPr>
              <w:ind w:firstLineChars="200" w:firstLine="480"/>
              <w:rPr>
                <w:rFonts w:ascii="仿宋" w:eastAsia="仿宋" w:hAnsi="仿宋" w:cs="Times New Roman"/>
                <w:sz w:val="24"/>
                <w:szCs w:val="24"/>
              </w:rPr>
            </w:pPr>
            <w:r w:rsidRPr="00590F68">
              <w:rPr>
                <w:rFonts w:ascii="仿宋" w:eastAsia="仿宋" w:hAnsi="仿宋" w:cs="Times New Roman" w:hint="eastAsia"/>
                <w:sz w:val="24"/>
                <w:szCs w:val="24"/>
              </w:rPr>
              <w:t>1．掌握中国特色社会主义理论，牢固树立社会主义法治理念，自觉遵守宪法、法律和法律职业伦理规范；</w:t>
            </w:r>
          </w:p>
          <w:p w:rsidR="00295820" w:rsidRPr="00590F68" w:rsidRDefault="00295820" w:rsidP="00295820">
            <w:pPr>
              <w:ind w:firstLineChars="200" w:firstLine="480"/>
              <w:rPr>
                <w:rFonts w:ascii="仿宋" w:eastAsia="仿宋" w:hAnsi="仿宋" w:cs="Times New Roman"/>
                <w:sz w:val="24"/>
                <w:szCs w:val="24"/>
              </w:rPr>
            </w:pPr>
            <w:r w:rsidRPr="00590F68">
              <w:rPr>
                <w:rFonts w:ascii="仿宋" w:eastAsia="仿宋" w:hAnsi="仿宋" w:cs="Times New Roman" w:hint="eastAsia"/>
                <w:sz w:val="24"/>
                <w:szCs w:val="24"/>
              </w:rPr>
              <w:t>2．具有扎实的法学理论功底，熟悉卫生法基本理论，了解国家卫生立法和法律实施现状，具有独立分析问题、解决问题的能力；</w:t>
            </w:r>
          </w:p>
          <w:p w:rsidR="00295820" w:rsidRPr="00590F68" w:rsidRDefault="00295820" w:rsidP="00295820">
            <w:pPr>
              <w:ind w:firstLineChars="200" w:firstLine="480"/>
              <w:rPr>
                <w:rFonts w:ascii="仿宋" w:eastAsia="仿宋" w:hAnsi="仿宋" w:cs="Times New Roman"/>
                <w:sz w:val="24"/>
                <w:szCs w:val="24"/>
              </w:rPr>
            </w:pPr>
            <w:r w:rsidRPr="00590F68">
              <w:rPr>
                <w:rFonts w:ascii="仿宋" w:eastAsia="仿宋" w:hAnsi="仿宋" w:cs="Times New Roman" w:hint="eastAsia"/>
                <w:sz w:val="24"/>
                <w:szCs w:val="24"/>
              </w:rPr>
              <w:t>3．较熟练的掌握一门外语，达到听、说、读、写自如的程度，能适应日常的涉外学术交流和法律实务需要，能够开展卫生法比较研究和卫生法领域的国际合作。</w:t>
            </w:r>
          </w:p>
        </w:tc>
      </w:tr>
      <w:tr w:rsidR="00590F68" w:rsidRPr="00590F68" w:rsidTr="00496CC5">
        <w:trPr>
          <w:trHeight w:val="1067"/>
        </w:trPr>
        <w:tc>
          <w:tcPr>
            <w:tcW w:w="1871" w:type="dxa"/>
          </w:tcPr>
          <w:p w:rsidR="00295820" w:rsidRPr="00590F68" w:rsidRDefault="00295820"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r w:rsidRPr="00590F68">
              <w:rPr>
                <w:rFonts w:ascii="黑体" w:eastAsia="黑体" w:hAnsi="黑体" w:hint="eastAsia"/>
                <w:sz w:val="24"/>
                <w:szCs w:val="24"/>
              </w:rPr>
              <w:t>三、专业方向</w:t>
            </w:r>
          </w:p>
        </w:tc>
        <w:tc>
          <w:tcPr>
            <w:tcW w:w="7253" w:type="dxa"/>
            <w:gridSpan w:val="4"/>
          </w:tcPr>
          <w:p w:rsidR="00496CC5" w:rsidRPr="00590F68" w:rsidRDefault="00496CC5" w:rsidP="00D10620">
            <w:pPr>
              <w:ind w:firstLineChars="200" w:firstLine="480"/>
              <w:rPr>
                <w:rFonts w:ascii="仿宋" w:eastAsia="仿宋" w:hAnsi="仿宋" w:cs="Times New Roman"/>
                <w:sz w:val="24"/>
                <w:szCs w:val="24"/>
              </w:rPr>
            </w:pPr>
          </w:p>
          <w:p w:rsidR="00295820" w:rsidRPr="00590F68" w:rsidRDefault="00295820" w:rsidP="00496CC5">
            <w:pPr>
              <w:ind w:firstLineChars="250" w:firstLine="600"/>
              <w:rPr>
                <w:rFonts w:ascii="仿宋" w:eastAsia="仿宋" w:hAnsi="仿宋" w:cs="Times New Roman"/>
                <w:sz w:val="24"/>
                <w:szCs w:val="24"/>
              </w:rPr>
            </w:pPr>
            <w:r w:rsidRPr="00590F68">
              <w:rPr>
                <w:rFonts w:ascii="仿宋" w:eastAsia="仿宋" w:hAnsi="仿宋" w:cs="Times New Roman" w:hint="eastAsia"/>
                <w:sz w:val="24"/>
                <w:szCs w:val="24"/>
              </w:rPr>
              <w:t>卫生法学</w:t>
            </w:r>
          </w:p>
        </w:tc>
      </w:tr>
      <w:tr w:rsidR="00590F68" w:rsidRPr="00590F68" w:rsidTr="00D10620">
        <w:trPr>
          <w:trHeight w:val="284"/>
        </w:trPr>
        <w:tc>
          <w:tcPr>
            <w:tcW w:w="1871" w:type="dxa"/>
            <w:vMerge w:val="restart"/>
          </w:tcPr>
          <w:p w:rsidR="00295820" w:rsidRPr="00590F68" w:rsidRDefault="00295820" w:rsidP="00D10620">
            <w:pPr>
              <w:jc w:val="center"/>
              <w:rPr>
                <w:rFonts w:ascii="黑体" w:eastAsia="黑体" w:hAnsi="黑体"/>
                <w:sz w:val="24"/>
                <w:szCs w:val="24"/>
              </w:rPr>
            </w:pPr>
          </w:p>
          <w:p w:rsidR="00496CC5" w:rsidRPr="00590F68" w:rsidRDefault="00496CC5" w:rsidP="00D10620">
            <w:pPr>
              <w:jc w:val="center"/>
              <w:rPr>
                <w:rFonts w:ascii="黑体" w:eastAsia="黑体" w:hAnsi="黑体"/>
                <w:sz w:val="24"/>
                <w:szCs w:val="24"/>
              </w:rPr>
            </w:pPr>
          </w:p>
          <w:p w:rsidR="00496CC5" w:rsidRPr="00590F68" w:rsidRDefault="00496CC5" w:rsidP="00D10620">
            <w:pPr>
              <w:jc w:val="center"/>
              <w:rPr>
                <w:rFonts w:ascii="黑体" w:eastAsia="黑体" w:hAnsi="黑体"/>
                <w:sz w:val="24"/>
                <w:szCs w:val="24"/>
              </w:rPr>
            </w:pPr>
          </w:p>
          <w:p w:rsidR="00496CC5" w:rsidRPr="00590F68" w:rsidRDefault="00496CC5" w:rsidP="00D10620">
            <w:pPr>
              <w:jc w:val="center"/>
              <w:rPr>
                <w:rFonts w:ascii="黑体" w:eastAsia="黑体" w:hAnsi="黑体"/>
                <w:sz w:val="24"/>
                <w:szCs w:val="24"/>
              </w:rPr>
            </w:pPr>
          </w:p>
          <w:p w:rsidR="006C2DF5" w:rsidRPr="00590F68" w:rsidRDefault="006C2DF5" w:rsidP="00D10620">
            <w:pPr>
              <w:jc w:val="center"/>
              <w:rPr>
                <w:rFonts w:ascii="黑体" w:eastAsia="黑体" w:hAnsi="黑体"/>
                <w:sz w:val="24"/>
                <w:szCs w:val="24"/>
              </w:rPr>
            </w:pPr>
          </w:p>
          <w:p w:rsidR="00295820" w:rsidRPr="00590F68" w:rsidRDefault="00295820" w:rsidP="00D10620">
            <w:pPr>
              <w:jc w:val="center"/>
              <w:rPr>
                <w:rFonts w:ascii="黑体" w:eastAsia="黑体" w:hAnsi="黑体"/>
                <w:sz w:val="24"/>
                <w:szCs w:val="24"/>
              </w:rPr>
            </w:pPr>
            <w:r w:rsidRPr="00590F68">
              <w:rPr>
                <w:rFonts w:ascii="黑体" w:eastAsia="黑体" w:hAnsi="黑体" w:hint="eastAsia"/>
                <w:sz w:val="24"/>
                <w:szCs w:val="24"/>
              </w:rPr>
              <w:t>四、学制及学习年限</w:t>
            </w:r>
          </w:p>
        </w:tc>
        <w:tc>
          <w:tcPr>
            <w:tcW w:w="1498" w:type="dxa"/>
          </w:tcPr>
          <w:p w:rsidR="00295820" w:rsidRPr="00590F68" w:rsidRDefault="00295820" w:rsidP="00D10620">
            <w:pPr>
              <w:ind w:firstLineChars="150" w:firstLine="360"/>
              <w:rPr>
                <w:rFonts w:ascii="仿宋" w:eastAsia="仿宋" w:hAnsi="仿宋"/>
                <w:sz w:val="24"/>
                <w:szCs w:val="24"/>
              </w:rPr>
            </w:pPr>
          </w:p>
          <w:p w:rsidR="00295820" w:rsidRPr="00590F68" w:rsidRDefault="00295820" w:rsidP="00D10620">
            <w:pPr>
              <w:ind w:firstLineChars="150" w:firstLine="360"/>
              <w:rPr>
                <w:rFonts w:ascii="仿宋" w:eastAsia="仿宋" w:hAnsi="仿宋"/>
                <w:sz w:val="24"/>
                <w:szCs w:val="24"/>
              </w:rPr>
            </w:pPr>
            <w:r w:rsidRPr="00590F68">
              <w:rPr>
                <w:rFonts w:ascii="仿宋" w:eastAsia="仿宋" w:hAnsi="仿宋" w:hint="eastAsia"/>
                <w:sz w:val="24"/>
                <w:szCs w:val="24"/>
              </w:rPr>
              <w:t>学制</w:t>
            </w:r>
          </w:p>
        </w:tc>
        <w:tc>
          <w:tcPr>
            <w:tcW w:w="1559" w:type="dxa"/>
          </w:tcPr>
          <w:p w:rsidR="00295820" w:rsidRPr="00590F68" w:rsidRDefault="00295820" w:rsidP="00D10620">
            <w:pPr>
              <w:jc w:val="center"/>
              <w:rPr>
                <w:rFonts w:ascii="仿宋" w:eastAsia="仿宋" w:hAnsi="仿宋"/>
                <w:sz w:val="24"/>
                <w:szCs w:val="24"/>
              </w:rPr>
            </w:pPr>
          </w:p>
          <w:p w:rsidR="00295820" w:rsidRPr="00590F68" w:rsidRDefault="00295820" w:rsidP="00D10620">
            <w:pPr>
              <w:jc w:val="center"/>
              <w:rPr>
                <w:rFonts w:ascii="仿宋" w:eastAsia="仿宋" w:hAnsi="仿宋"/>
                <w:sz w:val="24"/>
                <w:szCs w:val="24"/>
              </w:rPr>
            </w:pPr>
            <w:r w:rsidRPr="00590F68">
              <w:rPr>
                <w:rFonts w:ascii="仿宋" w:eastAsia="仿宋" w:hAnsi="仿宋" w:hint="eastAsia"/>
                <w:sz w:val="24"/>
                <w:szCs w:val="24"/>
              </w:rPr>
              <w:t>两年</w:t>
            </w:r>
          </w:p>
          <w:p w:rsidR="00295820" w:rsidRPr="00590F68" w:rsidRDefault="00295820" w:rsidP="00D10620">
            <w:pPr>
              <w:jc w:val="center"/>
              <w:rPr>
                <w:rFonts w:ascii="仿宋" w:eastAsia="仿宋" w:hAnsi="仿宋"/>
                <w:sz w:val="24"/>
                <w:szCs w:val="24"/>
              </w:rPr>
            </w:pPr>
          </w:p>
        </w:tc>
        <w:tc>
          <w:tcPr>
            <w:tcW w:w="1984" w:type="dxa"/>
          </w:tcPr>
          <w:p w:rsidR="00295820" w:rsidRPr="00590F68" w:rsidRDefault="00295820" w:rsidP="00D10620">
            <w:pPr>
              <w:ind w:firstLineChars="100" w:firstLine="240"/>
              <w:rPr>
                <w:rFonts w:ascii="仿宋" w:eastAsia="仿宋" w:hAnsi="仿宋"/>
                <w:sz w:val="24"/>
                <w:szCs w:val="24"/>
              </w:rPr>
            </w:pPr>
          </w:p>
          <w:p w:rsidR="00295820" w:rsidRPr="00590F68" w:rsidRDefault="00295820" w:rsidP="00D10620">
            <w:pPr>
              <w:ind w:firstLineChars="100" w:firstLine="240"/>
              <w:rPr>
                <w:rFonts w:ascii="仿宋" w:eastAsia="仿宋" w:hAnsi="仿宋"/>
                <w:sz w:val="24"/>
                <w:szCs w:val="24"/>
              </w:rPr>
            </w:pPr>
            <w:r w:rsidRPr="00590F68">
              <w:rPr>
                <w:rFonts w:ascii="仿宋" w:eastAsia="仿宋" w:hAnsi="仿宋" w:hint="eastAsia"/>
                <w:sz w:val="24"/>
                <w:szCs w:val="24"/>
              </w:rPr>
              <w:t>学习年限</w:t>
            </w:r>
          </w:p>
        </w:tc>
        <w:tc>
          <w:tcPr>
            <w:tcW w:w="2212" w:type="dxa"/>
          </w:tcPr>
          <w:p w:rsidR="00295820" w:rsidRPr="00590F68" w:rsidRDefault="00295820" w:rsidP="00D10620">
            <w:pPr>
              <w:jc w:val="center"/>
              <w:rPr>
                <w:rFonts w:ascii="仿宋" w:eastAsia="仿宋" w:hAnsi="仿宋"/>
                <w:sz w:val="24"/>
                <w:szCs w:val="24"/>
              </w:rPr>
            </w:pPr>
          </w:p>
          <w:p w:rsidR="00295820" w:rsidRPr="00590F68" w:rsidRDefault="00295820" w:rsidP="00D10620">
            <w:pPr>
              <w:jc w:val="center"/>
              <w:rPr>
                <w:rFonts w:ascii="仿宋" w:eastAsia="仿宋" w:hAnsi="仿宋"/>
                <w:sz w:val="24"/>
                <w:szCs w:val="24"/>
              </w:rPr>
            </w:pPr>
            <w:r w:rsidRPr="00590F68">
              <w:rPr>
                <w:rFonts w:ascii="仿宋" w:eastAsia="仿宋" w:hAnsi="仿宋" w:hint="eastAsia"/>
                <w:sz w:val="24"/>
                <w:szCs w:val="24"/>
              </w:rPr>
              <w:t>最长四年</w:t>
            </w:r>
          </w:p>
        </w:tc>
      </w:tr>
      <w:tr w:rsidR="00590F68" w:rsidRPr="00590F68" w:rsidTr="00295820">
        <w:trPr>
          <w:trHeight w:val="1238"/>
        </w:trPr>
        <w:tc>
          <w:tcPr>
            <w:tcW w:w="1871" w:type="dxa"/>
            <w:vMerge/>
          </w:tcPr>
          <w:p w:rsidR="00295820" w:rsidRPr="00590F68" w:rsidRDefault="00295820" w:rsidP="00D10620">
            <w:pPr>
              <w:jc w:val="center"/>
              <w:rPr>
                <w:rFonts w:ascii="黑体" w:eastAsia="黑体" w:hAnsi="黑体"/>
                <w:sz w:val="24"/>
                <w:szCs w:val="24"/>
              </w:rPr>
            </w:pPr>
          </w:p>
        </w:tc>
        <w:tc>
          <w:tcPr>
            <w:tcW w:w="7253" w:type="dxa"/>
            <w:gridSpan w:val="4"/>
          </w:tcPr>
          <w:p w:rsidR="00496CC5" w:rsidRPr="00590F68" w:rsidRDefault="00496CC5" w:rsidP="00496CC5">
            <w:pPr>
              <w:ind w:firstLineChars="200" w:firstLine="480"/>
              <w:rPr>
                <w:rFonts w:ascii="仿宋" w:eastAsia="仿宋" w:hAnsi="仿宋"/>
                <w:sz w:val="24"/>
                <w:szCs w:val="24"/>
              </w:rPr>
            </w:pPr>
            <w:r w:rsidRPr="00590F68">
              <w:rPr>
                <w:rFonts w:ascii="仿宋" w:eastAsia="仿宋" w:hAnsi="仿宋" w:hint="eastAsia"/>
                <w:sz w:val="24"/>
                <w:szCs w:val="24"/>
              </w:rPr>
              <w:t>1．基础学制为二年。其中，第一、二、三学期为课程学习阶段，学生应修完全部应修课程并完成</w:t>
            </w:r>
            <w:r w:rsidR="00995AE3" w:rsidRPr="00590F68">
              <w:rPr>
                <w:rFonts w:ascii="仿宋" w:eastAsia="仿宋" w:hAnsi="仿宋" w:hint="eastAsia"/>
                <w:sz w:val="24"/>
                <w:szCs w:val="24"/>
              </w:rPr>
              <w:t>专业实习</w:t>
            </w:r>
            <w:r w:rsidRPr="00590F68">
              <w:rPr>
                <w:rFonts w:ascii="仿宋" w:eastAsia="仿宋" w:hAnsi="仿宋" w:hint="eastAsia"/>
                <w:sz w:val="24"/>
                <w:szCs w:val="24"/>
              </w:rPr>
              <w:t>等学习</w:t>
            </w:r>
            <w:r w:rsidR="00995AE3" w:rsidRPr="00590F68">
              <w:rPr>
                <w:rFonts w:ascii="仿宋" w:eastAsia="仿宋" w:hAnsi="仿宋" w:hint="eastAsia"/>
                <w:sz w:val="24"/>
                <w:szCs w:val="24"/>
              </w:rPr>
              <w:t>和实践</w:t>
            </w:r>
            <w:r w:rsidRPr="00590F68">
              <w:rPr>
                <w:rFonts w:ascii="仿宋" w:eastAsia="仿宋" w:hAnsi="仿宋" w:hint="eastAsia"/>
                <w:sz w:val="24"/>
                <w:szCs w:val="24"/>
              </w:rPr>
              <w:t>任务；完成学位论文开题答辩；第四学期主要用于完成学位论文。</w:t>
            </w:r>
          </w:p>
          <w:p w:rsidR="00496CC5" w:rsidRPr="00590F68" w:rsidRDefault="00496CC5" w:rsidP="00496CC5">
            <w:pPr>
              <w:ind w:firstLineChars="200" w:firstLine="480"/>
              <w:rPr>
                <w:rFonts w:ascii="仿宋" w:eastAsia="仿宋" w:hAnsi="仿宋"/>
                <w:sz w:val="24"/>
                <w:szCs w:val="24"/>
              </w:rPr>
            </w:pPr>
            <w:r w:rsidRPr="00590F68">
              <w:rPr>
                <w:rFonts w:ascii="仿宋" w:eastAsia="仿宋" w:hAnsi="仿宋" w:hint="eastAsia"/>
                <w:sz w:val="24"/>
                <w:szCs w:val="24"/>
              </w:rPr>
              <w:t>2．研究生课程学分修满后未完成学位/毕业论文的，由本人申请，导师同意，学院批准，报研究生院备案后，可提前离校，学位申请和论文答辩可延长至四年。</w:t>
            </w:r>
          </w:p>
          <w:p w:rsidR="00295820" w:rsidRPr="00590F68" w:rsidRDefault="00496CC5" w:rsidP="00496CC5">
            <w:pPr>
              <w:ind w:firstLineChars="200" w:firstLine="480"/>
              <w:rPr>
                <w:rFonts w:ascii="仿宋" w:eastAsia="仿宋" w:hAnsi="仿宋"/>
                <w:sz w:val="24"/>
                <w:szCs w:val="24"/>
              </w:rPr>
            </w:pPr>
            <w:r w:rsidRPr="00590F68">
              <w:rPr>
                <w:rFonts w:ascii="仿宋" w:eastAsia="仿宋" w:hAnsi="仿宋" w:hint="eastAsia"/>
                <w:sz w:val="24"/>
                <w:szCs w:val="24"/>
              </w:rPr>
              <w:t>3．研究生在规定的最长期限内不能完成全部学业的，</w:t>
            </w:r>
            <w:r w:rsidR="00995AE3" w:rsidRPr="00590F68">
              <w:rPr>
                <w:rFonts w:ascii="仿宋" w:eastAsia="仿宋" w:hAnsi="仿宋" w:hint="eastAsia"/>
                <w:sz w:val="24"/>
                <w:szCs w:val="24"/>
              </w:rPr>
              <w:t>按有关规定处理</w:t>
            </w:r>
            <w:r w:rsidRPr="00590F68">
              <w:rPr>
                <w:rFonts w:ascii="仿宋" w:eastAsia="仿宋" w:hAnsi="仿宋" w:hint="eastAsia"/>
                <w:sz w:val="24"/>
                <w:szCs w:val="24"/>
              </w:rPr>
              <w:t>。</w:t>
            </w:r>
          </w:p>
        </w:tc>
      </w:tr>
      <w:tr w:rsidR="00590F68" w:rsidRPr="00590F68" w:rsidTr="00496CC5">
        <w:trPr>
          <w:trHeight w:val="1125"/>
        </w:trPr>
        <w:tc>
          <w:tcPr>
            <w:tcW w:w="1871" w:type="dxa"/>
          </w:tcPr>
          <w:p w:rsidR="006C2DF5" w:rsidRPr="00590F68" w:rsidRDefault="006C2DF5" w:rsidP="00D10620">
            <w:pPr>
              <w:jc w:val="center"/>
              <w:rPr>
                <w:rFonts w:ascii="黑体" w:eastAsia="黑体" w:hAnsi="黑体"/>
                <w:sz w:val="24"/>
                <w:szCs w:val="24"/>
              </w:rPr>
            </w:pPr>
          </w:p>
          <w:p w:rsidR="006C2DF5" w:rsidRPr="00590F68" w:rsidRDefault="006C2DF5" w:rsidP="00D10620">
            <w:pPr>
              <w:jc w:val="center"/>
              <w:rPr>
                <w:rFonts w:ascii="黑体" w:eastAsia="黑体" w:hAnsi="黑体"/>
                <w:sz w:val="24"/>
                <w:szCs w:val="24"/>
              </w:rPr>
            </w:pPr>
          </w:p>
          <w:p w:rsidR="00295820" w:rsidRPr="00590F68" w:rsidRDefault="00295820" w:rsidP="00D10620">
            <w:pPr>
              <w:jc w:val="center"/>
              <w:rPr>
                <w:rFonts w:ascii="黑体" w:eastAsia="黑体" w:hAnsi="黑体"/>
                <w:sz w:val="24"/>
                <w:szCs w:val="24"/>
              </w:rPr>
            </w:pPr>
            <w:r w:rsidRPr="00590F68">
              <w:rPr>
                <w:rFonts w:ascii="黑体" w:eastAsia="黑体" w:hAnsi="黑体" w:hint="eastAsia"/>
                <w:sz w:val="24"/>
                <w:szCs w:val="24"/>
              </w:rPr>
              <w:t>五、</w:t>
            </w:r>
            <w:r w:rsidRPr="00590F68">
              <w:rPr>
                <w:rFonts w:ascii="黑体" w:eastAsia="黑体" w:hAnsi="黑体"/>
                <w:sz w:val="24"/>
                <w:szCs w:val="24"/>
              </w:rPr>
              <w:t>课程设置、</w:t>
            </w:r>
            <w:r w:rsidRPr="00590F68">
              <w:rPr>
                <w:rFonts w:ascii="黑体" w:eastAsia="黑体" w:hAnsi="黑体" w:hint="eastAsia"/>
                <w:sz w:val="24"/>
                <w:szCs w:val="24"/>
              </w:rPr>
              <w:t>其他培养环节、教学计划与</w:t>
            </w:r>
            <w:r w:rsidRPr="00590F68">
              <w:rPr>
                <w:rFonts w:ascii="黑体" w:eastAsia="黑体" w:hAnsi="黑体"/>
                <w:sz w:val="24"/>
                <w:szCs w:val="24"/>
              </w:rPr>
              <w:t>学分要求</w:t>
            </w:r>
          </w:p>
        </w:tc>
        <w:tc>
          <w:tcPr>
            <w:tcW w:w="7253" w:type="dxa"/>
            <w:gridSpan w:val="4"/>
          </w:tcPr>
          <w:p w:rsidR="00295820" w:rsidRPr="00590F68" w:rsidRDefault="00496CC5" w:rsidP="00496CC5">
            <w:pPr>
              <w:ind w:firstLineChars="100" w:firstLine="240"/>
              <w:rPr>
                <w:rFonts w:ascii="仿宋" w:eastAsia="仿宋" w:hAnsi="仿宋"/>
                <w:sz w:val="24"/>
                <w:szCs w:val="24"/>
              </w:rPr>
            </w:pPr>
            <w:r w:rsidRPr="00590F68">
              <w:rPr>
                <w:rFonts w:ascii="仿宋" w:eastAsia="仿宋" w:hAnsi="仿宋" w:hint="eastAsia"/>
                <w:sz w:val="24"/>
                <w:szCs w:val="24"/>
              </w:rPr>
              <w:t>（一）课程与学分设置：见附表</w:t>
            </w:r>
          </w:p>
          <w:p w:rsidR="00496CC5" w:rsidRPr="00590F68" w:rsidRDefault="00496CC5" w:rsidP="00496CC5">
            <w:pPr>
              <w:ind w:firstLineChars="100" w:firstLine="240"/>
              <w:rPr>
                <w:rFonts w:ascii="仿宋" w:eastAsia="仿宋" w:hAnsi="仿宋"/>
                <w:sz w:val="24"/>
                <w:szCs w:val="24"/>
              </w:rPr>
            </w:pPr>
            <w:r w:rsidRPr="00590F68">
              <w:rPr>
                <w:rFonts w:ascii="仿宋" w:eastAsia="仿宋" w:hAnsi="仿宋" w:hint="eastAsia"/>
                <w:sz w:val="24"/>
                <w:szCs w:val="24"/>
              </w:rPr>
              <w:t>（二）其他培养计划</w:t>
            </w:r>
          </w:p>
          <w:p w:rsidR="00496CC5" w:rsidRPr="00590F68" w:rsidRDefault="00995AE3" w:rsidP="00496CC5">
            <w:pPr>
              <w:ind w:firstLineChars="200" w:firstLine="480"/>
              <w:jc w:val="left"/>
              <w:rPr>
                <w:rFonts w:ascii="仿宋" w:eastAsia="仿宋" w:hAnsi="仿宋" w:cs="仿宋"/>
                <w:bCs/>
                <w:sz w:val="24"/>
                <w:szCs w:val="24"/>
              </w:rPr>
            </w:pPr>
            <w:r w:rsidRPr="00590F68">
              <w:rPr>
                <w:rFonts w:ascii="仿宋" w:eastAsia="仿宋" w:hAnsi="仿宋" w:hint="eastAsia"/>
                <w:sz w:val="24"/>
                <w:szCs w:val="24"/>
              </w:rPr>
              <w:t>1</w:t>
            </w:r>
            <w:r w:rsidR="00496CC5" w:rsidRPr="00590F68">
              <w:rPr>
                <w:rFonts w:ascii="仿宋" w:eastAsia="仿宋" w:hAnsi="仿宋" w:hint="eastAsia"/>
                <w:sz w:val="24"/>
                <w:szCs w:val="24"/>
              </w:rPr>
              <w:t>.</w:t>
            </w:r>
            <w:r w:rsidR="002A6B56" w:rsidRPr="00590F68">
              <w:rPr>
                <w:rFonts w:ascii="仿宋" w:eastAsia="仿宋" w:hAnsi="仿宋" w:cs="仿宋" w:hint="eastAsia"/>
                <w:bCs/>
                <w:sz w:val="24"/>
                <w:szCs w:val="24"/>
              </w:rPr>
              <w:t>专业实践或专业实习</w:t>
            </w:r>
          </w:p>
          <w:p w:rsidR="00496CC5" w:rsidRPr="00590F68" w:rsidRDefault="00496CC5" w:rsidP="00496CC5">
            <w:pPr>
              <w:ind w:firstLineChars="200" w:firstLine="480"/>
              <w:jc w:val="left"/>
              <w:rPr>
                <w:rFonts w:ascii="仿宋" w:eastAsia="仿宋" w:hAnsi="仿宋" w:cs="仿宋"/>
                <w:sz w:val="24"/>
                <w:szCs w:val="24"/>
              </w:rPr>
            </w:pPr>
            <w:r w:rsidRPr="00590F68">
              <w:rPr>
                <w:rFonts w:ascii="仿宋" w:eastAsia="仿宋" w:hAnsi="仿宋" w:cs="仿宋" w:hint="eastAsia"/>
                <w:sz w:val="24"/>
                <w:szCs w:val="24"/>
              </w:rPr>
              <w:t>属于应届生的必修环节，由导师和学院组织落实，</w:t>
            </w:r>
            <w:r w:rsidR="00995AE3" w:rsidRPr="00590F68">
              <w:rPr>
                <w:rFonts w:ascii="仿宋" w:eastAsia="仿宋" w:hAnsi="仿宋" w:cs="仿宋" w:hint="eastAsia"/>
                <w:sz w:val="24"/>
                <w:szCs w:val="24"/>
              </w:rPr>
              <w:t>不少于三个月，共</w:t>
            </w:r>
            <w:r w:rsidRPr="00590F68">
              <w:rPr>
                <w:rFonts w:ascii="仿宋" w:eastAsia="仿宋" w:hAnsi="仿宋" w:cs="仿宋" w:hint="eastAsia"/>
                <w:sz w:val="24"/>
                <w:szCs w:val="24"/>
              </w:rPr>
              <w:t>计</w:t>
            </w:r>
            <w:r w:rsidR="00995AE3" w:rsidRPr="00590F68">
              <w:rPr>
                <w:rFonts w:ascii="仿宋" w:eastAsia="仿宋" w:hAnsi="仿宋" w:cs="仿宋" w:hint="eastAsia"/>
                <w:sz w:val="24"/>
                <w:szCs w:val="24"/>
              </w:rPr>
              <w:t>6</w:t>
            </w:r>
            <w:r w:rsidRPr="00590F68">
              <w:rPr>
                <w:rFonts w:ascii="仿宋" w:eastAsia="仿宋" w:hAnsi="仿宋" w:cs="仿宋" w:hint="eastAsia"/>
                <w:sz w:val="24"/>
                <w:szCs w:val="24"/>
              </w:rPr>
              <w:t>学分。</w:t>
            </w:r>
          </w:p>
          <w:p w:rsidR="00295820" w:rsidRPr="00590F68" w:rsidRDefault="00496CC5" w:rsidP="000D5877">
            <w:pPr>
              <w:ind w:firstLineChars="150" w:firstLine="360"/>
              <w:rPr>
                <w:rFonts w:ascii="仿宋" w:eastAsia="仿宋" w:hAnsi="仿宋"/>
                <w:sz w:val="24"/>
                <w:szCs w:val="24"/>
              </w:rPr>
            </w:pPr>
            <w:r w:rsidRPr="00590F68">
              <w:rPr>
                <w:rFonts w:ascii="仿宋" w:eastAsia="仿宋" w:hAnsi="仿宋" w:cs="仿宋" w:hint="eastAsia"/>
                <w:sz w:val="24"/>
                <w:szCs w:val="24"/>
              </w:rPr>
              <w:t>实践</w:t>
            </w:r>
            <w:r w:rsidR="00995AE3" w:rsidRPr="00590F68">
              <w:rPr>
                <w:rFonts w:ascii="仿宋" w:eastAsia="仿宋" w:hAnsi="仿宋" w:cs="仿宋" w:hint="eastAsia"/>
                <w:sz w:val="24"/>
                <w:szCs w:val="24"/>
              </w:rPr>
              <w:t>或实习</w:t>
            </w:r>
            <w:r w:rsidRPr="00590F68">
              <w:rPr>
                <w:rFonts w:ascii="仿宋" w:eastAsia="仿宋" w:hAnsi="仿宋" w:cs="仿宋" w:hint="eastAsia"/>
                <w:sz w:val="24"/>
                <w:szCs w:val="24"/>
              </w:rPr>
              <w:t>，应当在卫生行政管理部门、医疗机构、卫生服务机构或其他与卫生实践有关的机构进行。</w:t>
            </w:r>
          </w:p>
        </w:tc>
      </w:tr>
      <w:tr w:rsidR="00590F68" w:rsidRPr="00590F68" w:rsidTr="00D10620">
        <w:trPr>
          <w:trHeight w:val="1651"/>
        </w:trPr>
        <w:tc>
          <w:tcPr>
            <w:tcW w:w="1871" w:type="dxa"/>
          </w:tcPr>
          <w:p w:rsidR="00295820" w:rsidRPr="00590F68" w:rsidRDefault="00295820"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r w:rsidRPr="00590F68">
              <w:rPr>
                <w:rFonts w:ascii="黑体" w:eastAsia="黑体" w:hAnsi="黑体" w:hint="eastAsia"/>
                <w:sz w:val="24"/>
                <w:szCs w:val="24"/>
              </w:rPr>
              <w:t>六、培养方式</w:t>
            </w:r>
          </w:p>
        </w:tc>
        <w:tc>
          <w:tcPr>
            <w:tcW w:w="7253" w:type="dxa"/>
            <w:gridSpan w:val="4"/>
          </w:tcPr>
          <w:p w:rsidR="00496CC5" w:rsidRPr="00590F68" w:rsidRDefault="00496CC5" w:rsidP="00496CC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实行导师个人负责和本专业教师集体培养相结合的方式。</w:t>
            </w:r>
            <w:r w:rsidR="00995AE3" w:rsidRPr="00590F68">
              <w:rPr>
                <w:rFonts w:ascii="仿宋" w:eastAsia="仿宋" w:hAnsi="仿宋" w:cs="仿宋" w:hint="eastAsia"/>
                <w:sz w:val="24"/>
                <w:szCs w:val="24"/>
              </w:rPr>
              <w:t>实</w:t>
            </w:r>
            <w:r w:rsidR="002A6B56" w:rsidRPr="00590F68">
              <w:rPr>
                <w:rFonts w:ascii="仿宋" w:eastAsia="仿宋" w:hAnsi="仿宋" w:cs="仿宋" w:hint="eastAsia"/>
                <w:sz w:val="24"/>
                <w:szCs w:val="24"/>
              </w:rPr>
              <w:t>行</w:t>
            </w:r>
            <w:r w:rsidRPr="00590F68">
              <w:rPr>
                <w:rFonts w:ascii="仿宋" w:eastAsia="仿宋" w:hAnsi="仿宋" w:cs="仿宋" w:hint="eastAsia"/>
                <w:sz w:val="24"/>
                <w:szCs w:val="24"/>
              </w:rPr>
              <w:t>学业导师和实务导师联合指导的双导师制。</w:t>
            </w:r>
          </w:p>
          <w:p w:rsidR="00496CC5" w:rsidRPr="00590F68" w:rsidRDefault="00496CC5" w:rsidP="00496CC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教学方式多样化，采取校内教师授课与聘请校外专家专题讲座相结合、课堂讲授与参与卫生法律实务或相关课题研究相结合、教师讲授与学生讨论相结合的教学方法，强化研究生的专业素质，着重培养其创新能力、分析和解决问题的能力、语言表达能力、论文写作能力等多方面的综合能力。</w:t>
            </w:r>
          </w:p>
          <w:p w:rsidR="00295820" w:rsidRPr="00590F68" w:rsidRDefault="00496CC5" w:rsidP="00995AE3">
            <w:pPr>
              <w:ind w:firstLineChars="150" w:firstLine="360"/>
              <w:rPr>
                <w:rFonts w:ascii="仿宋" w:eastAsia="仿宋" w:hAnsi="仿宋" w:cs="Times New Roman"/>
                <w:sz w:val="24"/>
                <w:szCs w:val="24"/>
              </w:rPr>
            </w:pPr>
            <w:r w:rsidRPr="00590F68">
              <w:rPr>
                <w:rFonts w:ascii="仿宋" w:eastAsia="仿宋" w:hAnsi="仿宋" w:cs="仿宋" w:hint="eastAsia"/>
                <w:sz w:val="24"/>
                <w:szCs w:val="24"/>
              </w:rPr>
              <w:t>组织学生参加校内校外的学术活动，参加课题研究，如教研室活动、学术团体活动等。</w:t>
            </w:r>
            <w:r w:rsidR="00995AE3" w:rsidRPr="00590F68">
              <w:rPr>
                <w:rFonts w:ascii="仿宋" w:eastAsia="仿宋" w:hAnsi="仿宋" w:cs="仿宋" w:hint="eastAsia"/>
                <w:sz w:val="24"/>
                <w:szCs w:val="24"/>
              </w:rPr>
              <w:t>重视和加强实践能力培养。引导有兴趣和条件的学生搞学术研究</w:t>
            </w:r>
            <w:r w:rsidRPr="00590F68">
              <w:rPr>
                <w:rFonts w:ascii="仿宋" w:eastAsia="仿宋" w:hAnsi="仿宋" w:cs="仿宋" w:hint="eastAsia"/>
                <w:sz w:val="24"/>
                <w:szCs w:val="24"/>
              </w:rPr>
              <w:t>。</w:t>
            </w:r>
          </w:p>
        </w:tc>
      </w:tr>
      <w:tr w:rsidR="00590F68" w:rsidRPr="00590F68" w:rsidTr="00D10620">
        <w:trPr>
          <w:trHeight w:val="1651"/>
        </w:trPr>
        <w:tc>
          <w:tcPr>
            <w:tcW w:w="1871" w:type="dxa"/>
          </w:tcPr>
          <w:p w:rsidR="00295820" w:rsidRPr="00590F68" w:rsidRDefault="00295820"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r w:rsidRPr="00590F68">
              <w:rPr>
                <w:rFonts w:ascii="黑体" w:eastAsia="黑体" w:hAnsi="黑体" w:hint="eastAsia"/>
                <w:sz w:val="24"/>
                <w:szCs w:val="24"/>
              </w:rPr>
              <w:t>七、质量标准</w:t>
            </w:r>
          </w:p>
        </w:tc>
        <w:tc>
          <w:tcPr>
            <w:tcW w:w="7253" w:type="dxa"/>
            <w:gridSpan w:val="4"/>
          </w:tcPr>
          <w:p w:rsidR="00496CC5" w:rsidRPr="00590F68" w:rsidRDefault="00496CC5" w:rsidP="00496CC5">
            <w:pPr>
              <w:ind w:firstLineChars="150" w:firstLine="360"/>
              <w:rPr>
                <w:rFonts w:ascii="仿宋" w:eastAsia="仿宋" w:hAnsi="仿宋"/>
                <w:sz w:val="24"/>
                <w:szCs w:val="24"/>
              </w:rPr>
            </w:pPr>
            <w:r w:rsidRPr="00590F68">
              <w:rPr>
                <w:rFonts w:ascii="仿宋" w:eastAsia="仿宋" w:hAnsi="仿宋" w:hint="eastAsia"/>
                <w:sz w:val="24"/>
                <w:szCs w:val="24"/>
              </w:rPr>
              <w:t>培养具有社会主义思想道德觉悟，坚持马列主义、毛泽东思想和邓小平理论、三个代表重要思想</w:t>
            </w:r>
            <w:r w:rsidRPr="00590F68">
              <w:rPr>
                <w:rFonts w:ascii="仿宋" w:eastAsia="仿宋" w:hAnsi="仿宋"/>
                <w:sz w:val="24"/>
                <w:szCs w:val="24"/>
              </w:rPr>
              <w:t>和科学发展观，</w:t>
            </w:r>
            <w:r w:rsidRPr="00590F68">
              <w:rPr>
                <w:rFonts w:ascii="仿宋" w:eastAsia="仿宋" w:hAnsi="仿宋" w:hint="eastAsia"/>
                <w:sz w:val="24"/>
                <w:szCs w:val="24"/>
              </w:rPr>
              <w:t>拥护中国共产党的领导，坚持社会主义方向，具有坚实的本学科理论和系统的专业知识，身体健康。</w:t>
            </w:r>
          </w:p>
          <w:p w:rsidR="00496CC5" w:rsidRPr="00590F68" w:rsidRDefault="00496CC5" w:rsidP="00496CC5">
            <w:pPr>
              <w:ind w:firstLineChars="150" w:firstLine="360"/>
              <w:rPr>
                <w:rFonts w:ascii="仿宋" w:eastAsia="仿宋" w:hAnsi="仿宋"/>
                <w:sz w:val="24"/>
                <w:szCs w:val="24"/>
              </w:rPr>
            </w:pPr>
            <w:r w:rsidRPr="00590F68">
              <w:rPr>
                <w:rFonts w:ascii="仿宋" w:eastAsia="仿宋" w:hAnsi="仿宋" w:hint="eastAsia"/>
                <w:sz w:val="24"/>
                <w:szCs w:val="24"/>
              </w:rPr>
              <w:t>了解卫生法专业的理论体系，系统学习卫生法专业的基本原理、基本理论，提高和深化对卫生法专业的理论和理论框架的认识。能够提出自己的看法和想法，进行系统的论证；通过以点带面，促进理论的深化和思维能力的提高。</w:t>
            </w:r>
          </w:p>
          <w:p w:rsidR="00496CC5" w:rsidRPr="00590F68" w:rsidRDefault="00496CC5" w:rsidP="00496CC5">
            <w:pPr>
              <w:ind w:firstLineChars="150" w:firstLine="360"/>
              <w:rPr>
                <w:rFonts w:ascii="仿宋" w:eastAsia="仿宋" w:hAnsi="仿宋"/>
                <w:sz w:val="24"/>
                <w:szCs w:val="24"/>
              </w:rPr>
            </w:pPr>
            <w:r w:rsidRPr="00590F68">
              <w:rPr>
                <w:rFonts w:ascii="仿宋" w:eastAsia="仿宋" w:hAnsi="仿宋" w:hint="eastAsia"/>
                <w:sz w:val="24"/>
                <w:szCs w:val="24"/>
              </w:rPr>
              <w:t>关注社会，关注现实，关注当代中国经济与社会发展实践，积极探索新领域、新现象、新问题，鼓励学术理论创新，具有较强的创新精神与实践能力。</w:t>
            </w:r>
          </w:p>
          <w:p w:rsidR="00295820" w:rsidRPr="00590F68" w:rsidRDefault="00496CC5" w:rsidP="00496CC5">
            <w:pPr>
              <w:ind w:firstLineChars="150" w:firstLine="360"/>
              <w:rPr>
                <w:rFonts w:ascii="仿宋" w:eastAsia="仿宋" w:hAnsi="仿宋" w:cs="Times New Roman"/>
                <w:sz w:val="24"/>
                <w:szCs w:val="24"/>
              </w:rPr>
            </w:pPr>
            <w:r w:rsidRPr="00590F68">
              <w:rPr>
                <w:rFonts w:ascii="仿宋" w:eastAsia="仿宋" w:hAnsi="仿宋" w:hint="eastAsia"/>
                <w:sz w:val="24"/>
                <w:szCs w:val="24"/>
              </w:rPr>
              <w:t>较为熟练地掌握一门外语，达到听、说、读、写水平。适应各类国家机关和企事业单位在社会主义市场经济下所需要的复合型高级专业人才。</w:t>
            </w:r>
          </w:p>
        </w:tc>
      </w:tr>
      <w:tr w:rsidR="00590F68" w:rsidRPr="00590F68" w:rsidTr="00D10620">
        <w:trPr>
          <w:trHeight w:val="710"/>
        </w:trPr>
        <w:tc>
          <w:tcPr>
            <w:tcW w:w="1871" w:type="dxa"/>
          </w:tcPr>
          <w:p w:rsidR="00295820" w:rsidRPr="00590F68" w:rsidRDefault="00295820" w:rsidP="00D10620">
            <w:pPr>
              <w:jc w:val="center"/>
              <w:rPr>
                <w:rFonts w:ascii="黑体" w:eastAsia="黑体" w:hAnsi="黑体"/>
                <w:sz w:val="24"/>
                <w:szCs w:val="24"/>
              </w:rPr>
            </w:pPr>
          </w:p>
          <w:p w:rsidR="006C2DF5" w:rsidRPr="00590F68" w:rsidRDefault="006C2DF5" w:rsidP="00D10620">
            <w:pPr>
              <w:jc w:val="center"/>
              <w:rPr>
                <w:rFonts w:ascii="黑体" w:eastAsia="黑体" w:hAnsi="黑体"/>
                <w:sz w:val="24"/>
                <w:szCs w:val="24"/>
              </w:rPr>
            </w:pPr>
          </w:p>
          <w:p w:rsidR="006C2DF5" w:rsidRPr="00590F68" w:rsidRDefault="006C2DF5" w:rsidP="00D10620">
            <w:pPr>
              <w:jc w:val="center"/>
              <w:rPr>
                <w:rFonts w:ascii="黑体" w:eastAsia="黑体" w:hAnsi="黑体"/>
                <w:sz w:val="24"/>
                <w:szCs w:val="24"/>
              </w:rPr>
            </w:pPr>
          </w:p>
          <w:p w:rsidR="00295820" w:rsidRPr="00590F68" w:rsidRDefault="00295820" w:rsidP="00D10620">
            <w:pPr>
              <w:jc w:val="center"/>
              <w:rPr>
                <w:rFonts w:ascii="黑体" w:eastAsia="黑体" w:hAnsi="黑体"/>
                <w:sz w:val="24"/>
                <w:szCs w:val="24"/>
              </w:rPr>
            </w:pPr>
            <w:r w:rsidRPr="00590F68">
              <w:rPr>
                <w:rFonts w:ascii="黑体" w:eastAsia="黑体" w:hAnsi="黑体" w:hint="eastAsia"/>
                <w:sz w:val="24"/>
                <w:szCs w:val="24"/>
              </w:rPr>
              <w:t>八、考核方式</w:t>
            </w:r>
          </w:p>
        </w:tc>
        <w:tc>
          <w:tcPr>
            <w:tcW w:w="7253" w:type="dxa"/>
            <w:gridSpan w:val="4"/>
          </w:tcPr>
          <w:p w:rsidR="00496CC5" w:rsidRPr="00590F68" w:rsidRDefault="00496CC5" w:rsidP="00496CC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课程考核按国家和研究生院的有关规定执行。</w:t>
            </w:r>
          </w:p>
          <w:p w:rsidR="00295820" w:rsidRPr="00590F68" w:rsidRDefault="00496CC5" w:rsidP="00995AE3">
            <w:pPr>
              <w:ind w:firstLineChars="150" w:firstLine="360"/>
              <w:jc w:val="left"/>
              <w:rPr>
                <w:rFonts w:ascii="仿宋" w:eastAsia="仿宋" w:hAnsi="仿宋" w:cs="Times New Roman"/>
                <w:sz w:val="24"/>
                <w:szCs w:val="24"/>
              </w:rPr>
            </w:pPr>
            <w:r w:rsidRPr="00590F68">
              <w:rPr>
                <w:rFonts w:ascii="仿宋" w:eastAsia="仿宋" w:hAnsi="仿宋" w:cs="仿宋" w:hint="eastAsia"/>
                <w:sz w:val="24"/>
                <w:szCs w:val="24"/>
              </w:rPr>
              <w:t>学位课程采取考试方式，选修课实行</w:t>
            </w:r>
            <w:r w:rsidR="002A6B56" w:rsidRPr="00590F68">
              <w:rPr>
                <w:rFonts w:ascii="仿宋" w:eastAsia="仿宋" w:hAnsi="仿宋" w:cs="仿宋" w:hint="eastAsia"/>
                <w:sz w:val="24"/>
                <w:szCs w:val="24"/>
              </w:rPr>
              <w:t>考查</w:t>
            </w:r>
            <w:r w:rsidRPr="00590F68">
              <w:rPr>
                <w:rFonts w:ascii="仿宋" w:eastAsia="仿宋" w:hAnsi="仿宋" w:cs="仿宋" w:hint="eastAsia"/>
                <w:sz w:val="24"/>
                <w:szCs w:val="24"/>
              </w:rPr>
              <w:t>或考试方式。考试采取笔试的方法，必要时也可采取口试的方法，或者采取笔者和口试相结合的方法。</w:t>
            </w:r>
          </w:p>
        </w:tc>
      </w:tr>
      <w:tr w:rsidR="00590F68" w:rsidRPr="00590F68" w:rsidTr="00D10620">
        <w:trPr>
          <w:trHeight w:val="1985"/>
        </w:trPr>
        <w:tc>
          <w:tcPr>
            <w:tcW w:w="1871" w:type="dxa"/>
          </w:tcPr>
          <w:p w:rsidR="00295820" w:rsidRPr="00590F68" w:rsidRDefault="00295820"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r w:rsidRPr="00590F68">
              <w:rPr>
                <w:rFonts w:ascii="黑体" w:eastAsia="黑体" w:hAnsi="黑体" w:hint="eastAsia"/>
                <w:sz w:val="24"/>
                <w:szCs w:val="24"/>
              </w:rPr>
              <w:t>九、学位论文选题与撰写</w:t>
            </w:r>
          </w:p>
        </w:tc>
        <w:tc>
          <w:tcPr>
            <w:tcW w:w="7253" w:type="dxa"/>
            <w:gridSpan w:val="4"/>
          </w:tcPr>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1．除被批准延长学习年限的情况外，本专业研究生最迟应在第一学年结束之前选定学位论文的题目。硕士学位论文选题应限于卫生法专业范围之内。选题应紧密结合我国卫生法治建设的实际，重点研究本学科重大理论问题和实际问题。论文选题要创新，内容应具有理论价值和实用价值。</w:t>
            </w:r>
          </w:p>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2．除被批准延长学习年限的情况外，本专业研究生应在第一学年结束之前参加学位论文开题报告，就自己论文选题的意义、写作思路、主要观点、基本结构、文献准备情况和其他相关问题作出说明并听取各位导师的意见。</w:t>
            </w:r>
          </w:p>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3．学生在本人开题报告获得答辩通过后即可开始论文撰写工作，学位论文撰写前应广泛收集资料，认真进行学位论文调研。在此基础上拟写出学位论文大纲，征得导师同意后方可正式撰写。根据情况，可以在第三学期末或第四学期初组织论文预答辩。</w:t>
            </w:r>
          </w:p>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4．硕士学位论文的形式，既可以是专题研究，也可以是高质量的专题调查研究报告。</w:t>
            </w:r>
          </w:p>
          <w:p w:rsidR="00295820" w:rsidRPr="00590F68" w:rsidRDefault="006C2DF5" w:rsidP="006C2DF5">
            <w:pPr>
              <w:ind w:firstLineChars="150" w:firstLine="360"/>
              <w:rPr>
                <w:rFonts w:ascii="仿宋" w:eastAsia="仿宋" w:hAnsi="仿宋" w:cs="Times New Roman"/>
                <w:sz w:val="24"/>
                <w:szCs w:val="24"/>
              </w:rPr>
            </w:pPr>
            <w:r w:rsidRPr="00590F68">
              <w:rPr>
                <w:rFonts w:ascii="仿宋" w:eastAsia="仿宋" w:hAnsi="仿宋" w:cs="仿宋" w:hint="eastAsia"/>
                <w:sz w:val="24"/>
                <w:szCs w:val="24"/>
              </w:rPr>
              <w:t>5．硕士学位论文应达国家学位条例对硕士论文的要求，严禁剽窃</w:t>
            </w:r>
            <w:r w:rsidRPr="00590F68">
              <w:rPr>
                <w:rFonts w:ascii="仿宋" w:eastAsia="仿宋" w:hAnsi="仿宋" w:cs="仿宋" w:hint="eastAsia"/>
                <w:sz w:val="24"/>
                <w:szCs w:val="24"/>
              </w:rPr>
              <w:lastRenderedPageBreak/>
              <w:t>抄袭。导师应精心指导，严把质量关。论文格式应符合规范要求，</w:t>
            </w:r>
            <w:r w:rsidR="00995AE3" w:rsidRPr="00590F68">
              <w:rPr>
                <w:rFonts w:ascii="仿宋" w:eastAsia="仿宋" w:hAnsi="仿宋" w:cs="仿宋" w:hint="eastAsia"/>
                <w:sz w:val="24"/>
                <w:szCs w:val="24"/>
              </w:rPr>
              <w:t>字数不少于两</w:t>
            </w:r>
            <w:r w:rsidRPr="00590F68">
              <w:rPr>
                <w:rFonts w:ascii="仿宋" w:eastAsia="仿宋" w:hAnsi="仿宋" w:cs="仿宋" w:hint="eastAsia"/>
                <w:sz w:val="24"/>
                <w:szCs w:val="24"/>
              </w:rPr>
              <w:t>万字，学位论文经导师同意后方可最后定稿。</w:t>
            </w:r>
          </w:p>
        </w:tc>
      </w:tr>
      <w:tr w:rsidR="00590F68" w:rsidRPr="00590F68" w:rsidTr="00D10620">
        <w:trPr>
          <w:trHeight w:val="1985"/>
        </w:trPr>
        <w:tc>
          <w:tcPr>
            <w:tcW w:w="1871" w:type="dxa"/>
          </w:tcPr>
          <w:p w:rsidR="00295820" w:rsidRPr="00590F68" w:rsidRDefault="00295820"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r w:rsidRPr="00590F68">
              <w:rPr>
                <w:rFonts w:ascii="黑体" w:eastAsia="黑体" w:hAnsi="黑体" w:hint="eastAsia"/>
                <w:sz w:val="24"/>
                <w:szCs w:val="24"/>
              </w:rPr>
              <w:t>十、学位论文答辩与学位授予</w:t>
            </w:r>
          </w:p>
        </w:tc>
        <w:tc>
          <w:tcPr>
            <w:tcW w:w="7253" w:type="dxa"/>
            <w:gridSpan w:val="4"/>
          </w:tcPr>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1．本专业研究生完成本培养方案规定的全部学习任务，成绩合格，取得规定的学分并完成学位论文，经导师同意，即可向校学位评定委员会申请硕士学位，同时提交学位论文、学位申请书和其他规定的申请材料。</w:t>
            </w:r>
          </w:p>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2．经批准参加论文答辩的研究生应按研究生院统一规定的日期、数量和方式提交论文定稿。</w:t>
            </w:r>
          </w:p>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3．本专业研究生学位论文实行匿名评阅。评阅人由本专业和学科领域内的校外专家、学者担任。</w:t>
            </w:r>
          </w:p>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4．组织进行学位论文答辩。答辩委员会的组成必须符合有关规定，可聘请校外导师</w:t>
            </w:r>
            <w:r w:rsidR="002E2213" w:rsidRPr="00590F68">
              <w:rPr>
                <w:rFonts w:ascii="仿宋" w:eastAsia="仿宋" w:hAnsi="仿宋" w:cs="仿宋" w:hint="eastAsia"/>
                <w:sz w:val="24"/>
                <w:szCs w:val="24"/>
              </w:rPr>
              <w:t>或实践部门专家</w:t>
            </w:r>
            <w:r w:rsidRPr="00590F68">
              <w:rPr>
                <w:rFonts w:ascii="仿宋" w:eastAsia="仿宋" w:hAnsi="仿宋" w:cs="仿宋" w:hint="eastAsia"/>
                <w:sz w:val="24"/>
                <w:szCs w:val="24"/>
              </w:rPr>
              <w:t>参加，论文指导老师不得担任其指导的学生的答辩委员，也不得以任何方式参加答辩委员会对该学生论文和答辩情况的评议工作。答辩程序须严格按学位条例和研究生院的有关规定执行。</w:t>
            </w:r>
          </w:p>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5．论文答辩原则上以公开方式举行，校内外有关人员可列席旁听。</w:t>
            </w:r>
          </w:p>
          <w:p w:rsidR="006C2DF5"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6．论文答辩委员会应对答辩情况充分交换意见。委员会关于授予学位的建议，经全体委员三分之二以上（含三分之二）通过。学位论文答辩未通过，但答辩委员会认为可以修改论文并重新答辩一次的，应以无记名投票方式，经全体委员半数以上通过。</w:t>
            </w:r>
          </w:p>
          <w:p w:rsidR="00295820" w:rsidRPr="00590F68" w:rsidRDefault="006C2DF5" w:rsidP="006C2DF5">
            <w:pPr>
              <w:ind w:firstLineChars="150" w:firstLine="360"/>
              <w:jc w:val="left"/>
              <w:rPr>
                <w:rFonts w:ascii="仿宋" w:eastAsia="仿宋" w:hAnsi="仿宋" w:cs="仿宋"/>
                <w:sz w:val="24"/>
                <w:szCs w:val="24"/>
              </w:rPr>
            </w:pPr>
            <w:r w:rsidRPr="00590F68">
              <w:rPr>
                <w:rFonts w:ascii="仿宋" w:eastAsia="仿宋" w:hAnsi="仿宋" w:cs="仿宋" w:hint="eastAsia"/>
                <w:sz w:val="24"/>
                <w:szCs w:val="24"/>
              </w:rPr>
              <w:t>7．对论文水平达到国家学位条例规定要求，并经论文答辩委员会和校学位评定委员会通过的，授予硕士学位。</w:t>
            </w:r>
          </w:p>
        </w:tc>
      </w:tr>
      <w:tr w:rsidR="00295820" w:rsidRPr="00590F68" w:rsidTr="00D10620">
        <w:trPr>
          <w:trHeight w:val="841"/>
        </w:trPr>
        <w:tc>
          <w:tcPr>
            <w:tcW w:w="1871" w:type="dxa"/>
          </w:tcPr>
          <w:p w:rsidR="00295820" w:rsidRPr="00590F68" w:rsidRDefault="00295820" w:rsidP="006C2DF5">
            <w:pPr>
              <w:jc w:val="center"/>
              <w:rPr>
                <w:rFonts w:ascii="仿宋" w:eastAsia="仿宋" w:hAnsi="仿宋"/>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6C2DF5" w:rsidRPr="00590F68" w:rsidRDefault="006C2DF5" w:rsidP="006C2DF5">
            <w:pPr>
              <w:jc w:val="center"/>
              <w:rPr>
                <w:rFonts w:ascii="黑体" w:eastAsia="黑体" w:hAnsi="黑体"/>
                <w:sz w:val="24"/>
                <w:szCs w:val="24"/>
              </w:rPr>
            </w:pPr>
          </w:p>
          <w:p w:rsidR="00295820" w:rsidRPr="00590F68" w:rsidRDefault="00295820" w:rsidP="006C2DF5">
            <w:pPr>
              <w:jc w:val="center"/>
              <w:rPr>
                <w:rFonts w:ascii="黑体" w:eastAsia="黑体" w:hAnsi="黑体"/>
                <w:sz w:val="24"/>
                <w:szCs w:val="24"/>
              </w:rPr>
            </w:pPr>
            <w:r w:rsidRPr="00590F68">
              <w:rPr>
                <w:rFonts w:ascii="黑体" w:eastAsia="黑体" w:hAnsi="黑体" w:hint="eastAsia"/>
                <w:sz w:val="24"/>
                <w:szCs w:val="24"/>
              </w:rPr>
              <w:t>十一、参考文献</w:t>
            </w:r>
          </w:p>
        </w:tc>
        <w:tc>
          <w:tcPr>
            <w:tcW w:w="7253" w:type="dxa"/>
            <w:gridSpan w:val="4"/>
          </w:tcPr>
          <w:p w:rsidR="006C2DF5" w:rsidRPr="00590F68" w:rsidRDefault="006C2DF5" w:rsidP="006C2DF5">
            <w:pPr>
              <w:ind w:firstLineChars="50" w:firstLine="120"/>
              <w:rPr>
                <w:rFonts w:ascii="仿宋" w:eastAsia="仿宋" w:hAnsi="仿宋"/>
                <w:sz w:val="24"/>
                <w:szCs w:val="24"/>
              </w:rPr>
            </w:pPr>
            <w:r w:rsidRPr="00590F68">
              <w:rPr>
                <w:rFonts w:ascii="仿宋" w:eastAsia="仿宋" w:hAnsi="仿宋" w:hint="eastAsia"/>
                <w:sz w:val="24"/>
                <w:szCs w:val="24"/>
              </w:rPr>
              <w:t>一、必读文献（10本）</w:t>
            </w:r>
          </w:p>
          <w:p w:rsidR="006C2DF5" w:rsidRPr="00590F68" w:rsidRDefault="006C2DF5" w:rsidP="006C2DF5">
            <w:pPr>
              <w:ind w:firstLineChars="200" w:firstLine="480"/>
              <w:rPr>
                <w:rFonts w:ascii="仿宋" w:eastAsia="仿宋" w:hAnsi="仿宋"/>
                <w:sz w:val="24"/>
                <w:szCs w:val="24"/>
              </w:rPr>
            </w:pPr>
            <w:r w:rsidRPr="00590F68">
              <w:rPr>
                <w:rFonts w:ascii="仿宋" w:eastAsia="仿宋" w:hAnsi="仿宋" w:hint="eastAsia"/>
                <w:sz w:val="24"/>
                <w:szCs w:val="24"/>
              </w:rPr>
              <w:t>中文原著</w:t>
            </w:r>
          </w:p>
          <w:p w:rsidR="006C2DF5" w:rsidRPr="00590F68" w:rsidRDefault="006C2DF5" w:rsidP="006C2DF5">
            <w:pPr>
              <w:numPr>
                <w:ilvl w:val="0"/>
                <w:numId w:val="1"/>
              </w:numPr>
              <w:ind w:firstLineChars="200" w:firstLine="480"/>
              <w:rPr>
                <w:rFonts w:ascii="仿宋" w:eastAsia="仿宋" w:hAnsi="仿宋"/>
                <w:sz w:val="24"/>
                <w:szCs w:val="24"/>
              </w:rPr>
            </w:pPr>
            <w:r w:rsidRPr="00590F68">
              <w:rPr>
                <w:rFonts w:ascii="仿宋" w:eastAsia="仿宋" w:hAnsi="仿宋" w:hint="eastAsia"/>
                <w:sz w:val="24"/>
                <w:szCs w:val="24"/>
              </w:rPr>
              <w:t>张树义主编</w:t>
            </w:r>
            <w:r w:rsidRPr="00590F68">
              <w:rPr>
                <w:rFonts w:ascii="仿宋" w:eastAsia="仿宋" w:hAnsi="仿宋"/>
                <w:sz w:val="24"/>
                <w:szCs w:val="24"/>
              </w:rPr>
              <w:t>：《</w:t>
            </w:r>
            <w:r w:rsidRPr="00590F68">
              <w:rPr>
                <w:rFonts w:ascii="仿宋" w:eastAsia="仿宋" w:hAnsi="仿宋" w:hint="eastAsia"/>
                <w:sz w:val="24"/>
                <w:szCs w:val="24"/>
              </w:rPr>
              <w:t>行政法学（第二版）</w:t>
            </w:r>
            <w:r w:rsidRPr="00590F68">
              <w:rPr>
                <w:rFonts w:ascii="仿宋" w:eastAsia="仿宋" w:hAnsi="仿宋"/>
                <w:sz w:val="24"/>
                <w:szCs w:val="24"/>
              </w:rPr>
              <w:t>》，</w:t>
            </w:r>
            <w:r w:rsidRPr="00590F68">
              <w:rPr>
                <w:rFonts w:ascii="仿宋" w:eastAsia="仿宋" w:hAnsi="仿宋" w:hint="eastAsia"/>
                <w:sz w:val="24"/>
                <w:szCs w:val="24"/>
              </w:rPr>
              <w:t>北京大学出版社2012年版。</w:t>
            </w:r>
          </w:p>
          <w:p w:rsidR="006C2DF5" w:rsidRPr="00590F68" w:rsidRDefault="006C2DF5" w:rsidP="006C2DF5">
            <w:pPr>
              <w:numPr>
                <w:ilvl w:val="0"/>
                <w:numId w:val="1"/>
              </w:numPr>
              <w:ind w:firstLineChars="200" w:firstLine="480"/>
              <w:rPr>
                <w:rFonts w:ascii="仿宋" w:eastAsia="仿宋" w:hAnsi="仿宋"/>
                <w:sz w:val="24"/>
                <w:szCs w:val="24"/>
              </w:rPr>
            </w:pPr>
            <w:r w:rsidRPr="00590F68">
              <w:rPr>
                <w:rFonts w:ascii="仿宋" w:eastAsia="仿宋" w:hAnsi="仿宋" w:hint="eastAsia"/>
                <w:sz w:val="24"/>
                <w:szCs w:val="24"/>
              </w:rPr>
              <w:t>马怀德主编</w:t>
            </w:r>
            <w:r w:rsidRPr="00590F68">
              <w:rPr>
                <w:rFonts w:ascii="仿宋" w:eastAsia="仿宋" w:hAnsi="仿宋"/>
                <w:sz w:val="24"/>
                <w:szCs w:val="24"/>
              </w:rPr>
              <w:t>：《</w:t>
            </w:r>
            <w:r w:rsidRPr="00590F68">
              <w:rPr>
                <w:rFonts w:ascii="仿宋" w:eastAsia="仿宋" w:hAnsi="仿宋" w:hint="eastAsia"/>
                <w:sz w:val="24"/>
                <w:szCs w:val="24"/>
              </w:rPr>
              <w:t>行政诉讼法（第四版）</w:t>
            </w:r>
            <w:r w:rsidRPr="00590F68">
              <w:rPr>
                <w:rFonts w:ascii="仿宋" w:eastAsia="仿宋" w:hAnsi="仿宋"/>
                <w:sz w:val="24"/>
                <w:szCs w:val="24"/>
              </w:rPr>
              <w:t>》，</w:t>
            </w:r>
            <w:r w:rsidRPr="00590F68">
              <w:rPr>
                <w:rFonts w:ascii="仿宋" w:eastAsia="仿宋" w:hAnsi="仿宋" w:hint="eastAsia"/>
                <w:sz w:val="24"/>
                <w:szCs w:val="24"/>
              </w:rPr>
              <w:t>北京大学出版社2015年版。</w:t>
            </w:r>
          </w:p>
          <w:p w:rsidR="006C2DF5" w:rsidRPr="00590F68" w:rsidRDefault="006C2DF5" w:rsidP="006C2DF5">
            <w:pPr>
              <w:numPr>
                <w:ilvl w:val="0"/>
                <w:numId w:val="1"/>
              </w:numPr>
              <w:ind w:firstLineChars="200" w:firstLine="480"/>
              <w:rPr>
                <w:rFonts w:ascii="仿宋" w:eastAsia="仿宋" w:hAnsi="仿宋"/>
                <w:sz w:val="24"/>
                <w:szCs w:val="24"/>
              </w:rPr>
            </w:pPr>
            <w:r w:rsidRPr="00590F68">
              <w:rPr>
                <w:rFonts w:ascii="仿宋" w:eastAsia="仿宋" w:hAnsi="仿宋" w:hint="eastAsia"/>
                <w:sz w:val="24"/>
                <w:szCs w:val="24"/>
              </w:rPr>
              <w:t>姜明安主编：《行政法与行政诉讼法学（第六版）》，北京大学出版社、高等教育出版社2015年版。</w:t>
            </w:r>
          </w:p>
          <w:p w:rsidR="006C2DF5" w:rsidRPr="00590F68" w:rsidRDefault="006C2DF5" w:rsidP="006C2DF5">
            <w:pPr>
              <w:numPr>
                <w:ilvl w:val="0"/>
                <w:numId w:val="1"/>
              </w:numPr>
              <w:ind w:firstLineChars="200" w:firstLine="480"/>
              <w:rPr>
                <w:rFonts w:ascii="仿宋" w:eastAsia="仿宋" w:hAnsi="仿宋"/>
                <w:sz w:val="24"/>
                <w:szCs w:val="24"/>
              </w:rPr>
            </w:pPr>
            <w:r w:rsidRPr="00590F68">
              <w:rPr>
                <w:rFonts w:ascii="仿宋" w:eastAsia="仿宋" w:hAnsi="仿宋" w:hint="eastAsia"/>
                <w:sz w:val="24"/>
                <w:szCs w:val="24"/>
              </w:rPr>
              <w:t>吴崇其主编：《中国卫生法学（第三版）》，中国协和医科大学出版社。</w:t>
            </w:r>
          </w:p>
          <w:p w:rsidR="006C2DF5" w:rsidRPr="00590F68" w:rsidRDefault="006C2DF5" w:rsidP="006C2DF5">
            <w:pPr>
              <w:ind w:firstLineChars="200" w:firstLine="480"/>
              <w:rPr>
                <w:rFonts w:ascii="仿宋" w:eastAsia="仿宋" w:hAnsi="仿宋"/>
                <w:sz w:val="24"/>
                <w:szCs w:val="24"/>
              </w:rPr>
            </w:pPr>
            <w:r w:rsidRPr="00590F68">
              <w:rPr>
                <w:rFonts w:ascii="仿宋" w:eastAsia="仿宋" w:hAnsi="仿宋" w:hint="eastAsia"/>
                <w:sz w:val="24"/>
                <w:szCs w:val="24"/>
              </w:rPr>
              <w:t>中文译著</w:t>
            </w:r>
          </w:p>
          <w:p w:rsidR="006C2DF5" w:rsidRPr="00590F68" w:rsidRDefault="006C2DF5" w:rsidP="006C2DF5">
            <w:pPr>
              <w:rPr>
                <w:rFonts w:ascii="仿宋" w:eastAsia="仿宋" w:hAnsi="仿宋"/>
                <w:sz w:val="24"/>
                <w:szCs w:val="24"/>
              </w:rPr>
            </w:pPr>
            <w:r w:rsidRPr="00590F68">
              <w:rPr>
                <w:rFonts w:ascii="仿宋" w:eastAsia="仿宋" w:hAnsi="仿宋" w:hint="eastAsia"/>
                <w:sz w:val="24"/>
                <w:szCs w:val="24"/>
              </w:rPr>
              <w:t xml:space="preserve">    5.[德]弗里德赫尔穆·胡芬著：《行政诉讼法》，莫光华译，刘飞校，法律出版社2003年版。</w:t>
            </w:r>
          </w:p>
          <w:p w:rsidR="006C2DF5" w:rsidRPr="00590F68" w:rsidRDefault="006C2DF5" w:rsidP="006C2DF5">
            <w:pPr>
              <w:ind w:firstLineChars="200" w:firstLine="480"/>
              <w:rPr>
                <w:rFonts w:ascii="仿宋" w:eastAsia="仿宋" w:hAnsi="仿宋"/>
                <w:sz w:val="24"/>
                <w:szCs w:val="24"/>
              </w:rPr>
            </w:pPr>
            <w:r w:rsidRPr="00590F68">
              <w:rPr>
                <w:rFonts w:ascii="仿宋" w:eastAsia="仿宋" w:hAnsi="仿宋" w:hint="eastAsia"/>
                <w:sz w:val="24"/>
                <w:szCs w:val="24"/>
              </w:rPr>
              <w:t>6</w:t>
            </w:r>
            <w:r w:rsidRPr="00590F68">
              <w:rPr>
                <w:rFonts w:ascii="仿宋" w:eastAsia="仿宋" w:hAnsi="仿宋"/>
                <w:sz w:val="24"/>
                <w:szCs w:val="24"/>
              </w:rPr>
              <w:t>. [</w:t>
            </w:r>
            <w:r w:rsidRPr="00590F68">
              <w:rPr>
                <w:rFonts w:ascii="仿宋" w:eastAsia="仿宋" w:hAnsi="仿宋" w:hint="eastAsia"/>
                <w:sz w:val="24"/>
                <w:szCs w:val="24"/>
              </w:rPr>
              <w:t>日</w:t>
            </w:r>
            <w:r w:rsidRPr="00590F68">
              <w:rPr>
                <w:rFonts w:ascii="仿宋" w:eastAsia="仿宋" w:hAnsi="仿宋"/>
                <w:sz w:val="24"/>
                <w:szCs w:val="24"/>
              </w:rPr>
              <w:t>]</w:t>
            </w:r>
            <w:r w:rsidRPr="00590F68">
              <w:rPr>
                <w:rFonts w:ascii="仿宋" w:eastAsia="仿宋" w:hAnsi="仿宋" w:hint="eastAsia"/>
                <w:sz w:val="24"/>
                <w:szCs w:val="24"/>
              </w:rPr>
              <w:t>谷口安平著</w:t>
            </w:r>
            <w:r w:rsidRPr="00590F68">
              <w:rPr>
                <w:rFonts w:ascii="仿宋" w:eastAsia="仿宋" w:hAnsi="仿宋"/>
                <w:sz w:val="24"/>
                <w:szCs w:val="24"/>
              </w:rPr>
              <w:t>：《</w:t>
            </w:r>
            <w:r w:rsidRPr="00590F68">
              <w:rPr>
                <w:rFonts w:ascii="仿宋" w:eastAsia="仿宋" w:hAnsi="仿宋" w:hint="eastAsia"/>
                <w:sz w:val="24"/>
                <w:szCs w:val="24"/>
              </w:rPr>
              <w:t>程序的正义与诉讼</w:t>
            </w:r>
            <w:r w:rsidRPr="00590F68">
              <w:rPr>
                <w:rFonts w:ascii="仿宋" w:eastAsia="仿宋" w:hAnsi="仿宋"/>
                <w:sz w:val="24"/>
                <w:szCs w:val="24"/>
              </w:rPr>
              <w:t>》，</w:t>
            </w:r>
            <w:r w:rsidRPr="00590F68">
              <w:rPr>
                <w:rFonts w:ascii="仿宋" w:eastAsia="仿宋" w:hAnsi="仿宋" w:hint="eastAsia"/>
                <w:sz w:val="24"/>
                <w:szCs w:val="24"/>
              </w:rPr>
              <w:t>王亚新、刘荣军</w:t>
            </w:r>
            <w:r w:rsidRPr="00590F68">
              <w:rPr>
                <w:rFonts w:ascii="仿宋" w:eastAsia="仿宋" w:hAnsi="仿宋"/>
                <w:sz w:val="24"/>
                <w:szCs w:val="24"/>
              </w:rPr>
              <w:t>译，</w:t>
            </w:r>
            <w:r w:rsidRPr="00590F68">
              <w:rPr>
                <w:rFonts w:ascii="仿宋" w:eastAsia="仿宋" w:hAnsi="仿宋" w:hint="eastAsia"/>
                <w:sz w:val="24"/>
                <w:szCs w:val="24"/>
              </w:rPr>
              <w:t>中国政法大学出版社2002年版</w:t>
            </w:r>
            <w:r w:rsidRPr="00590F68">
              <w:rPr>
                <w:rFonts w:ascii="仿宋" w:eastAsia="仿宋" w:hAnsi="仿宋"/>
                <w:sz w:val="24"/>
                <w:szCs w:val="24"/>
              </w:rPr>
              <w:t>。</w:t>
            </w:r>
          </w:p>
          <w:p w:rsidR="006C2DF5" w:rsidRPr="00590F68" w:rsidRDefault="006C2DF5" w:rsidP="006C2DF5">
            <w:pPr>
              <w:ind w:firstLine="482"/>
              <w:rPr>
                <w:rFonts w:ascii="仿宋" w:eastAsia="仿宋" w:hAnsi="仿宋"/>
                <w:sz w:val="24"/>
                <w:szCs w:val="24"/>
                <w:lang w:val="ru-RU"/>
              </w:rPr>
            </w:pPr>
          </w:p>
          <w:p w:rsidR="006C2DF5" w:rsidRPr="00590F68" w:rsidRDefault="006C2DF5" w:rsidP="006C2DF5">
            <w:pPr>
              <w:ind w:firstLineChars="50" w:firstLine="120"/>
              <w:rPr>
                <w:rFonts w:ascii="仿宋" w:eastAsia="仿宋" w:hAnsi="仿宋"/>
                <w:sz w:val="24"/>
                <w:szCs w:val="24"/>
              </w:rPr>
            </w:pPr>
            <w:r w:rsidRPr="00590F68">
              <w:rPr>
                <w:rFonts w:ascii="仿宋" w:eastAsia="仿宋" w:hAnsi="仿宋" w:hint="eastAsia"/>
                <w:sz w:val="24"/>
                <w:szCs w:val="24"/>
              </w:rPr>
              <w:t>二、选读文献（不超过20本）</w:t>
            </w:r>
          </w:p>
          <w:p w:rsidR="006C2DF5" w:rsidRPr="00590F68" w:rsidRDefault="006C2DF5" w:rsidP="006C2DF5">
            <w:pPr>
              <w:ind w:firstLineChars="200" w:firstLine="480"/>
              <w:rPr>
                <w:rFonts w:ascii="仿宋" w:eastAsia="仿宋" w:hAnsi="仿宋"/>
                <w:sz w:val="24"/>
                <w:szCs w:val="24"/>
              </w:rPr>
            </w:pPr>
            <w:r w:rsidRPr="00590F68">
              <w:rPr>
                <w:rFonts w:ascii="仿宋" w:eastAsia="仿宋" w:hAnsi="仿宋" w:hint="eastAsia"/>
                <w:sz w:val="24"/>
                <w:szCs w:val="24"/>
              </w:rPr>
              <w:lastRenderedPageBreak/>
              <w:t>中文原著</w:t>
            </w:r>
          </w:p>
          <w:p w:rsidR="006C2DF5" w:rsidRPr="00590F68" w:rsidRDefault="006C2DF5" w:rsidP="006C2DF5">
            <w:pPr>
              <w:rPr>
                <w:rFonts w:ascii="仿宋" w:eastAsia="仿宋" w:hAnsi="仿宋"/>
                <w:sz w:val="24"/>
                <w:szCs w:val="24"/>
              </w:rPr>
            </w:pPr>
            <w:r w:rsidRPr="00590F68">
              <w:rPr>
                <w:rFonts w:ascii="仿宋" w:eastAsia="仿宋" w:hAnsi="仿宋" w:hint="eastAsia"/>
                <w:sz w:val="24"/>
                <w:szCs w:val="24"/>
              </w:rPr>
              <w:t xml:space="preserve">    1. 汪建荣主编：《卫生法制实践与理论研究》，法律出版社2012年版。</w:t>
            </w:r>
          </w:p>
          <w:p w:rsidR="006C2DF5" w:rsidRPr="00590F68" w:rsidRDefault="006C2DF5" w:rsidP="006C2DF5">
            <w:pPr>
              <w:ind w:firstLineChars="200" w:firstLine="480"/>
              <w:rPr>
                <w:rFonts w:ascii="仿宋" w:eastAsia="仿宋" w:hAnsi="仿宋"/>
                <w:sz w:val="24"/>
                <w:szCs w:val="24"/>
              </w:rPr>
            </w:pPr>
            <w:r w:rsidRPr="00590F68">
              <w:rPr>
                <w:rFonts w:ascii="仿宋" w:eastAsia="仿宋" w:hAnsi="仿宋" w:hint="eastAsia"/>
                <w:sz w:val="24"/>
                <w:szCs w:val="24"/>
              </w:rPr>
              <w:t>2. 蒲川、古津贤主编：《卫生行政法》，浙江工商大学出版社2013年版。</w:t>
            </w:r>
          </w:p>
          <w:p w:rsidR="006C2DF5" w:rsidRPr="00590F68" w:rsidRDefault="006C2DF5" w:rsidP="006C2DF5">
            <w:pPr>
              <w:ind w:left="480"/>
              <w:rPr>
                <w:rFonts w:ascii="仿宋" w:eastAsia="仿宋" w:hAnsi="仿宋"/>
                <w:sz w:val="24"/>
                <w:szCs w:val="24"/>
              </w:rPr>
            </w:pPr>
            <w:r w:rsidRPr="00590F68">
              <w:rPr>
                <w:rFonts w:ascii="仿宋" w:eastAsia="仿宋" w:hAnsi="仿宋" w:hint="eastAsia"/>
                <w:sz w:val="24"/>
                <w:szCs w:val="24"/>
              </w:rPr>
              <w:t>3.石超明、何振主编：《卫生法学》，武汉大学出版社2014年版。</w:t>
            </w:r>
          </w:p>
          <w:p w:rsidR="006C2DF5" w:rsidRPr="00590F68" w:rsidRDefault="006C2DF5" w:rsidP="006C2DF5">
            <w:pPr>
              <w:ind w:firstLineChars="200" w:firstLine="480"/>
              <w:rPr>
                <w:rFonts w:ascii="仿宋" w:eastAsia="仿宋" w:hAnsi="仿宋"/>
                <w:sz w:val="24"/>
                <w:szCs w:val="24"/>
              </w:rPr>
            </w:pPr>
            <w:r w:rsidRPr="00590F68">
              <w:rPr>
                <w:rFonts w:ascii="仿宋" w:eastAsia="仿宋" w:hAnsi="仿宋" w:hint="eastAsia"/>
                <w:sz w:val="24"/>
                <w:szCs w:val="24"/>
              </w:rPr>
              <w:t>4.丁朝刚主编：《卫生法学》，北京大学出版社2015年版。</w:t>
            </w:r>
          </w:p>
          <w:p w:rsidR="006C2DF5" w:rsidRPr="00590F68" w:rsidRDefault="006C2DF5" w:rsidP="006C2DF5">
            <w:pPr>
              <w:ind w:firstLine="480"/>
              <w:rPr>
                <w:rFonts w:ascii="仿宋" w:eastAsia="仿宋" w:hAnsi="仿宋"/>
                <w:sz w:val="24"/>
                <w:szCs w:val="24"/>
              </w:rPr>
            </w:pPr>
            <w:r w:rsidRPr="00590F68">
              <w:rPr>
                <w:rFonts w:ascii="仿宋" w:eastAsia="仿宋" w:hAnsi="仿宋" w:hint="eastAsia"/>
                <w:sz w:val="24"/>
                <w:szCs w:val="24"/>
              </w:rPr>
              <w:t>5.冯正骏主编：《医疗损害司法鉴定实务》，浙江工商大学出版社2015年版。</w:t>
            </w:r>
          </w:p>
          <w:p w:rsidR="006C2DF5" w:rsidRPr="00590F68" w:rsidRDefault="006C2DF5" w:rsidP="006C2DF5">
            <w:pPr>
              <w:ind w:firstLineChars="200" w:firstLine="480"/>
              <w:rPr>
                <w:rFonts w:ascii="仿宋" w:eastAsia="仿宋" w:hAnsi="仿宋"/>
                <w:sz w:val="24"/>
                <w:szCs w:val="24"/>
              </w:rPr>
            </w:pPr>
            <w:r w:rsidRPr="00590F68">
              <w:rPr>
                <w:rFonts w:ascii="仿宋" w:eastAsia="仿宋" w:hAnsi="仿宋" w:hint="eastAsia"/>
                <w:sz w:val="24"/>
                <w:szCs w:val="24"/>
              </w:rPr>
              <w:t>中文译著</w:t>
            </w:r>
          </w:p>
          <w:p w:rsidR="00295820" w:rsidRPr="00590F68" w:rsidRDefault="006C2DF5" w:rsidP="006C2DF5">
            <w:pPr>
              <w:ind w:firstLineChars="200" w:firstLine="480"/>
              <w:rPr>
                <w:rFonts w:ascii="仿宋" w:eastAsia="仿宋" w:hAnsi="仿宋"/>
                <w:sz w:val="24"/>
                <w:szCs w:val="24"/>
              </w:rPr>
            </w:pPr>
            <w:r w:rsidRPr="00590F68">
              <w:rPr>
                <w:rFonts w:ascii="仿宋" w:eastAsia="仿宋" w:hAnsi="仿宋" w:hint="eastAsia"/>
                <w:sz w:val="24"/>
                <w:szCs w:val="24"/>
              </w:rPr>
              <w:t>6</w:t>
            </w:r>
            <w:r w:rsidRPr="00590F68">
              <w:rPr>
                <w:rFonts w:ascii="仿宋" w:eastAsia="仿宋" w:hAnsi="仿宋"/>
                <w:sz w:val="24"/>
                <w:szCs w:val="24"/>
              </w:rPr>
              <w:t>. [</w:t>
            </w:r>
            <w:r w:rsidRPr="00590F68">
              <w:rPr>
                <w:rFonts w:ascii="仿宋" w:eastAsia="仿宋" w:hAnsi="仿宋" w:hint="eastAsia"/>
                <w:sz w:val="24"/>
                <w:szCs w:val="24"/>
              </w:rPr>
              <w:t>美</w:t>
            </w:r>
            <w:r w:rsidRPr="00590F68">
              <w:rPr>
                <w:rFonts w:ascii="仿宋" w:eastAsia="仿宋" w:hAnsi="仿宋"/>
                <w:sz w:val="24"/>
                <w:szCs w:val="24"/>
              </w:rPr>
              <w:t>]</w:t>
            </w:r>
            <w:r w:rsidRPr="00590F68">
              <w:rPr>
                <w:rFonts w:ascii="仿宋" w:eastAsia="仿宋" w:hAnsi="仿宋" w:hint="eastAsia"/>
                <w:sz w:val="24"/>
                <w:szCs w:val="24"/>
              </w:rPr>
              <w:t>理查德·B.斯图尔特著</w:t>
            </w:r>
            <w:r w:rsidRPr="00590F68">
              <w:rPr>
                <w:rFonts w:ascii="仿宋" w:eastAsia="仿宋" w:hAnsi="仿宋"/>
                <w:sz w:val="24"/>
                <w:szCs w:val="24"/>
              </w:rPr>
              <w:t>：《</w:t>
            </w:r>
            <w:r w:rsidRPr="00590F68">
              <w:rPr>
                <w:rFonts w:ascii="仿宋" w:eastAsia="仿宋" w:hAnsi="仿宋" w:hint="eastAsia"/>
                <w:sz w:val="24"/>
                <w:szCs w:val="24"/>
              </w:rPr>
              <w:t>美国行政法的重构</w:t>
            </w:r>
            <w:r w:rsidRPr="00590F68">
              <w:rPr>
                <w:rFonts w:ascii="仿宋" w:eastAsia="仿宋" w:hAnsi="仿宋"/>
                <w:sz w:val="24"/>
                <w:szCs w:val="24"/>
              </w:rPr>
              <w:t>》，</w:t>
            </w:r>
            <w:r w:rsidRPr="00590F68">
              <w:rPr>
                <w:rFonts w:ascii="仿宋" w:eastAsia="仿宋" w:hAnsi="仿宋" w:hint="eastAsia"/>
                <w:sz w:val="24"/>
                <w:szCs w:val="24"/>
              </w:rPr>
              <w:t>沈岿</w:t>
            </w:r>
            <w:r w:rsidRPr="00590F68">
              <w:rPr>
                <w:rFonts w:ascii="仿宋" w:eastAsia="仿宋" w:hAnsi="仿宋"/>
                <w:sz w:val="24"/>
                <w:szCs w:val="24"/>
              </w:rPr>
              <w:t>译，商务印书馆20</w:t>
            </w:r>
            <w:r w:rsidRPr="00590F68">
              <w:rPr>
                <w:rFonts w:ascii="仿宋" w:eastAsia="仿宋" w:hAnsi="仿宋" w:hint="eastAsia"/>
                <w:sz w:val="24"/>
                <w:szCs w:val="24"/>
              </w:rPr>
              <w:t>11</w:t>
            </w:r>
            <w:r w:rsidRPr="00590F68">
              <w:rPr>
                <w:rFonts w:ascii="仿宋" w:eastAsia="仿宋" w:hAnsi="仿宋"/>
                <w:sz w:val="24"/>
                <w:szCs w:val="24"/>
              </w:rPr>
              <w:t>年。</w:t>
            </w:r>
          </w:p>
        </w:tc>
      </w:tr>
    </w:tbl>
    <w:p w:rsidR="00105E00" w:rsidRPr="00590F68" w:rsidRDefault="00105E00"/>
    <w:p w:rsidR="00295820" w:rsidRPr="00590F68" w:rsidRDefault="00295820"/>
    <w:p w:rsidR="00295820" w:rsidRPr="00590F68" w:rsidRDefault="00295820"/>
    <w:p w:rsidR="00295820" w:rsidRPr="00590F68" w:rsidRDefault="00295820"/>
    <w:p w:rsidR="00295820" w:rsidRPr="00590F68" w:rsidRDefault="00295820"/>
    <w:p w:rsidR="00295820" w:rsidRPr="00590F68" w:rsidRDefault="00295820" w:rsidP="00295820">
      <w:pPr>
        <w:pStyle w:val="a9"/>
        <w:wordWrap w:val="0"/>
        <w:jc w:val="right"/>
        <w:rPr>
          <w:rFonts w:eastAsia="仿宋"/>
          <w:sz w:val="28"/>
          <w:szCs w:val="28"/>
        </w:rPr>
      </w:pPr>
      <w:r w:rsidRPr="00590F68">
        <w:rPr>
          <w:rFonts w:hint="eastAsia"/>
        </w:rPr>
        <w:t xml:space="preserve">                                     </w:t>
      </w:r>
      <w:r w:rsidRPr="00590F68">
        <w:rPr>
          <w:rFonts w:eastAsia="仿宋"/>
          <w:sz w:val="28"/>
          <w:szCs w:val="28"/>
        </w:rPr>
        <w:t>学位评定分委员会</w:t>
      </w:r>
      <w:r w:rsidRPr="00590F68">
        <w:rPr>
          <w:rFonts w:eastAsia="仿宋" w:hint="eastAsia"/>
          <w:sz w:val="28"/>
          <w:szCs w:val="28"/>
        </w:rPr>
        <w:t>主席</w:t>
      </w:r>
      <w:r w:rsidRPr="00590F68">
        <w:rPr>
          <w:rFonts w:eastAsia="仿宋"/>
          <w:sz w:val="28"/>
          <w:szCs w:val="28"/>
        </w:rPr>
        <w:t>签字：</w:t>
      </w:r>
    </w:p>
    <w:p w:rsidR="00295820" w:rsidRPr="00590F68" w:rsidRDefault="00295820" w:rsidP="00295820">
      <w:pPr>
        <w:pStyle w:val="a9"/>
        <w:jc w:val="right"/>
        <w:rPr>
          <w:rFonts w:eastAsia="仿宋"/>
          <w:sz w:val="28"/>
          <w:szCs w:val="28"/>
        </w:rPr>
      </w:pPr>
      <w:r w:rsidRPr="00590F68">
        <w:rPr>
          <w:rFonts w:eastAsia="仿宋"/>
          <w:sz w:val="28"/>
          <w:szCs w:val="28"/>
        </w:rPr>
        <w:t>年</w:t>
      </w:r>
      <w:r w:rsidRPr="00590F68">
        <w:rPr>
          <w:rFonts w:eastAsia="仿宋" w:hint="eastAsia"/>
          <w:sz w:val="28"/>
          <w:szCs w:val="28"/>
        </w:rPr>
        <w:t xml:space="preserve">  </w:t>
      </w:r>
      <w:r w:rsidRPr="00590F68">
        <w:rPr>
          <w:rFonts w:eastAsia="仿宋"/>
          <w:sz w:val="28"/>
          <w:szCs w:val="28"/>
        </w:rPr>
        <w:t>月</w:t>
      </w:r>
      <w:r w:rsidRPr="00590F68">
        <w:rPr>
          <w:rFonts w:eastAsia="仿宋" w:hint="eastAsia"/>
          <w:sz w:val="28"/>
          <w:szCs w:val="28"/>
        </w:rPr>
        <w:t xml:space="preserve">  </w:t>
      </w:r>
      <w:r w:rsidRPr="00590F68">
        <w:rPr>
          <w:rFonts w:eastAsia="仿宋"/>
          <w:sz w:val="28"/>
          <w:szCs w:val="28"/>
        </w:rPr>
        <w:t>日</w:t>
      </w:r>
    </w:p>
    <w:p w:rsidR="00295820" w:rsidRPr="00590F68" w:rsidRDefault="00295820"/>
    <w:p w:rsidR="00295820" w:rsidRPr="00590F68" w:rsidRDefault="00295820"/>
    <w:p w:rsidR="00295820" w:rsidRPr="00590F68" w:rsidRDefault="00295820"/>
    <w:p w:rsidR="00295820" w:rsidRPr="00590F68" w:rsidRDefault="00295820"/>
    <w:p w:rsidR="002A6B56" w:rsidRPr="00590F68" w:rsidRDefault="002A6B56">
      <w:pPr>
        <w:widowControl/>
        <w:jc w:val="left"/>
      </w:pPr>
      <w:r w:rsidRPr="00590F68">
        <w:br w:type="page"/>
      </w:r>
    </w:p>
    <w:tbl>
      <w:tblPr>
        <w:tblStyle w:val="a7"/>
        <w:tblpPr w:leftFromText="180" w:rightFromText="180" w:vertAnchor="page" w:horzAnchor="margin" w:tblpY="2791"/>
        <w:tblW w:w="9024" w:type="dxa"/>
        <w:tblLayout w:type="fixed"/>
        <w:tblLook w:val="04A0" w:firstRow="1" w:lastRow="0" w:firstColumn="1" w:lastColumn="0" w:noHBand="0" w:noVBand="1"/>
      </w:tblPr>
      <w:tblGrid>
        <w:gridCol w:w="1065"/>
        <w:gridCol w:w="2155"/>
        <w:gridCol w:w="1361"/>
        <w:gridCol w:w="1065"/>
        <w:gridCol w:w="1065"/>
        <w:gridCol w:w="1247"/>
        <w:gridCol w:w="1066"/>
      </w:tblGrid>
      <w:tr w:rsidR="00590F68" w:rsidRPr="00590F68" w:rsidTr="00D235EF">
        <w:trPr>
          <w:trHeight w:val="426"/>
        </w:trPr>
        <w:tc>
          <w:tcPr>
            <w:tcW w:w="106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lastRenderedPageBreak/>
              <w:t>序号</w:t>
            </w:r>
          </w:p>
        </w:tc>
        <w:tc>
          <w:tcPr>
            <w:tcW w:w="2155" w:type="dxa"/>
          </w:tcPr>
          <w:p w:rsidR="00D235EF" w:rsidRPr="00590F68" w:rsidRDefault="00D235EF" w:rsidP="00D235EF">
            <w:pPr>
              <w:widowControl/>
              <w:spacing w:line="600" w:lineRule="atLeast"/>
              <w:ind w:firstLineChars="50" w:firstLine="120"/>
              <w:jc w:val="center"/>
              <w:rPr>
                <w:rFonts w:ascii="仿宋" w:eastAsia="仿宋" w:hAnsi="仿宋" w:cs="宋体"/>
                <w:kern w:val="0"/>
                <w:sz w:val="24"/>
                <w:szCs w:val="24"/>
              </w:rPr>
            </w:pPr>
            <w:r w:rsidRPr="00590F68">
              <w:rPr>
                <w:rFonts w:ascii="仿宋" w:eastAsia="仿宋" w:hAnsi="仿宋" w:cs="宋体" w:hint="eastAsia"/>
                <w:kern w:val="0"/>
                <w:sz w:val="24"/>
                <w:szCs w:val="24"/>
              </w:rPr>
              <w:t>课程名称</w:t>
            </w:r>
          </w:p>
        </w:tc>
        <w:tc>
          <w:tcPr>
            <w:tcW w:w="1361"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性质</w:t>
            </w:r>
          </w:p>
        </w:tc>
        <w:tc>
          <w:tcPr>
            <w:tcW w:w="106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总课时</w:t>
            </w:r>
          </w:p>
        </w:tc>
        <w:tc>
          <w:tcPr>
            <w:tcW w:w="1065" w:type="dxa"/>
          </w:tcPr>
          <w:p w:rsidR="00D235EF" w:rsidRPr="00590F68" w:rsidRDefault="00D235EF" w:rsidP="00D235EF">
            <w:pPr>
              <w:widowControl/>
              <w:spacing w:line="600" w:lineRule="atLeast"/>
              <w:ind w:firstLineChars="50" w:firstLine="120"/>
              <w:jc w:val="center"/>
              <w:rPr>
                <w:rFonts w:ascii="仿宋" w:eastAsia="仿宋" w:hAnsi="仿宋" w:cs="宋体"/>
                <w:kern w:val="0"/>
                <w:sz w:val="24"/>
                <w:szCs w:val="24"/>
              </w:rPr>
            </w:pPr>
            <w:r w:rsidRPr="00590F68">
              <w:rPr>
                <w:rFonts w:ascii="仿宋" w:eastAsia="仿宋" w:hAnsi="仿宋" w:cs="宋体" w:hint="eastAsia"/>
                <w:kern w:val="0"/>
                <w:sz w:val="24"/>
                <w:szCs w:val="24"/>
              </w:rPr>
              <w:t>学分</w:t>
            </w:r>
          </w:p>
        </w:tc>
        <w:tc>
          <w:tcPr>
            <w:tcW w:w="1247"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授课学期</w:t>
            </w:r>
          </w:p>
        </w:tc>
        <w:tc>
          <w:tcPr>
            <w:tcW w:w="1066"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备注</w:t>
            </w:r>
          </w:p>
        </w:tc>
      </w:tr>
      <w:tr w:rsidR="00590F68" w:rsidRPr="00590F68" w:rsidTr="00D235EF">
        <w:trPr>
          <w:trHeight w:val="113"/>
        </w:trPr>
        <w:tc>
          <w:tcPr>
            <w:tcW w:w="9024" w:type="dxa"/>
            <w:gridSpan w:val="7"/>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公共必修课6分 （计6学分）</w:t>
            </w:r>
          </w:p>
        </w:tc>
      </w:tr>
      <w:tr w:rsidR="00590F68" w:rsidRPr="00590F68" w:rsidTr="00D235EF">
        <w:trPr>
          <w:trHeight w:val="284"/>
        </w:trPr>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1</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马克思经典选读</w:t>
            </w:r>
          </w:p>
          <w:p w:rsidR="002E2213" w:rsidRPr="00590F68" w:rsidRDefault="002E2213"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中国特色社会主义制度</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必修课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36</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2</w:t>
            </w:r>
          </w:p>
        </w:tc>
        <w:tc>
          <w:tcPr>
            <w:tcW w:w="1247" w:type="dxa"/>
          </w:tcPr>
          <w:p w:rsidR="00D235EF" w:rsidRPr="00590F68" w:rsidRDefault="002E2213" w:rsidP="00D235EF">
            <w:pPr>
              <w:widowControl/>
              <w:spacing w:line="600" w:lineRule="atLeast"/>
              <w:rPr>
                <w:rFonts w:ascii="仿宋" w:eastAsia="仿宋" w:hAnsi="仿宋" w:cs="宋体"/>
                <w:kern w:val="0"/>
                <w:sz w:val="24"/>
                <w:szCs w:val="24"/>
              </w:rPr>
            </w:pPr>
            <w:r w:rsidRPr="00590F68">
              <w:rPr>
                <w:rFonts w:ascii="仿宋" w:eastAsia="仿宋" w:hAnsi="仿宋" w:cs="宋体"/>
                <w:kern w:val="0"/>
                <w:sz w:val="24"/>
                <w:szCs w:val="24"/>
              </w:rPr>
              <w:t>一</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2</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第一外国语</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必修课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72</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4</w:t>
            </w:r>
          </w:p>
        </w:tc>
        <w:tc>
          <w:tcPr>
            <w:tcW w:w="1247" w:type="dxa"/>
          </w:tcPr>
          <w:p w:rsidR="00D235EF" w:rsidRPr="00590F68" w:rsidRDefault="00D235EF" w:rsidP="00D235EF">
            <w:pPr>
              <w:widowControl/>
              <w:spacing w:line="600" w:lineRule="atLeast"/>
              <w:rPr>
                <w:rFonts w:ascii="仿宋" w:eastAsia="仿宋" w:hAnsi="仿宋" w:cs="宋体"/>
                <w:kern w:val="0"/>
                <w:sz w:val="24"/>
                <w:szCs w:val="24"/>
              </w:rPr>
            </w:pP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9024" w:type="dxa"/>
            <w:gridSpan w:val="7"/>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专业必修课21分 （计21学分）</w:t>
            </w: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宪法学</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必修课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54</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w:t>
            </w:r>
          </w:p>
        </w:tc>
        <w:tc>
          <w:tcPr>
            <w:tcW w:w="1247"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一</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4</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行政法学</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必修课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54</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w:t>
            </w:r>
          </w:p>
        </w:tc>
        <w:tc>
          <w:tcPr>
            <w:tcW w:w="1247"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一</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5</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行政诉讼法学</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必修课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54</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w:t>
            </w:r>
          </w:p>
        </w:tc>
        <w:tc>
          <w:tcPr>
            <w:tcW w:w="1247"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二</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6</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民法学</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必修课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54</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w:t>
            </w:r>
          </w:p>
        </w:tc>
        <w:tc>
          <w:tcPr>
            <w:tcW w:w="1247"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一</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7</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民事诉讼法学</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必修课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54</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w:t>
            </w:r>
          </w:p>
        </w:tc>
        <w:tc>
          <w:tcPr>
            <w:tcW w:w="1247"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二</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8</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卫生法总论</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必修课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54</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w:t>
            </w:r>
          </w:p>
        </w:tc>
        <w:tc>
          <w:tcPr>
            <w:tcW w:w="1247"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一</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9</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医事法</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必修课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54</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w:t>
            </w:r>
          </w:p>
        </w:tc>
        <w:tc>
          <w:tcPr>
            <w:tcW w:w="1247"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一</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9024" w:type="dxa"/>
            <w:gridSpan w:val="7"/>
          </w:tcPr>
          <w:p w:rsidR="00D235EF" w:rsidRPr="00590F68" w:rsidRDefault="00D235EF" w:rsidP="00B27036">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选修课</w:t>
            </w:r>
            <w:r w:rsidR="00B27036" w:rsidRPr="00590F68">
              <w:rPr>
                <w:rFonts w:ascii="仿宋" w:eastAsia="仿宋" w:hAnsi="仿宋" w:cs="宋体" w:hint="eastAsia"/>
                <w:kern w:val="0"/>
                <w:sz w:val="24"/>
                <w:szCs w:val="24"/>
              </w:rPr>
              <w:t>13</w:t>
            </w:r>
            <w:r w:rsidRPr="00590F68">
              <w:rPr>
                <w:rFonts w:ascii="仿宋" w:eastAsia="仿宋" w:hAnsi="仿宋" w:cs="宋体" w:hint="eastAsia"/>
                <w:kern w:val="0"/>
                <w:sz w:val="24"/>
                <w:szCs w:val="24"/>
              </w:rPr>
              <w:t>分</w:t>
            </w: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10</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公共卫生法学</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选修课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36</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2</w:t>
            </w:r>
          </w:p>
        </w:tc>
        <w:tc>
          <w:tcPr>
            <w:tcW w:w="1247"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二</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11</w:t>
            </w:r>
          </w:p>
        </w:tc>
        <w:tc>
          <w:tcPr>
            <w:tcW w:w="2155" w:type="dxa"/>
          </w:tcPr>
          <w:p w:rsidR="00D235EF" w:rsidRPr="00590F68" w:rsidRDefault="00D235EF" w:rsidP="00D235EF">
            <w:pPr>
              <w:widowControl/>
              <w:spacing w:line="600" w:lineRule="atLeast"/>
              <w:jc w:val="center"/>
              <w:rPr>
                <w:rFonts w:ascii="仿宋" w:eastAsia="仿宋" w:hAnsi="仿宋" w:cs="宋体"/>
                <w:kern w:val="0"/>
                <w:sz w:val="24"/>
                <w:szCs w:val="24"/>
              </w:rPr>
            </w:pPr>
            <w:r w:rsidRPr="00590F68">
              <w:rPr>
                <w:rFonts w:ascii="仿宋" w:eastAsia="仿宋" w:hAnsi="仿宋" w:cs="宋体" w:hint="eastAsia"/>
                <w:kern w:val="0"/>
                <w:sz w:val="24"/>
                <w:szCs w:val="24"/>
              </w:rPr>
              <w:t>药事法学</w:t>
            </w:r>
          </w:p>
        </w:tc>
        <w:tc>
          <w:tcPr>
            <w:tcW w:w="1361"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选修课</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36</w:t>
            </w:r>
          </w:p>
        </w:tc>
        <w:tc>
          <w:tcPr>
            <w:tcW w:w="1065" w:type="dxa"/>
          </w:tcPr>
          <w:p w:rsidR="00D235EF" w:rsidRPr="00590F68" w:rsidRDefault="00D235EF"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2</w:t>
            </w:r>
          </w:p>
        </w:tc>
        <w:tc>
          <w:tcPr>
            <w:tcW w:w="1247" w:type="dxa"/>
          </w:tcPr>
          <w:p w:rsidR="00D235EF" w:rsidRPr="00590F68" w:rsidRDefault="00827AC0"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三</w:t>
            </w:r>
          </w:p>
        </w:tc>
        <w:tc>
          <w:tcPr>
            <w:tcW w:w="1066" w:type="dxa"/>
          </w:tcPr>
          <w:p w:rsidR="00D235EF" w:rsidRPr="00590F68" w:rsidRDefault="00D235EF"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12</w:t>
            </w:r>
          </w:p>
        </w:tc>
        <w:tc>
          <w:tcPr>
            <w:tcW w:w="2155" w:type="dxa"/>
          </w:tcPr>
          <w:p w:rsidR="00B27036" w:rsidRPr="00590F68" w:rsidRDefault="00B27036" w:rsidP="00D235EF">
            <w:pPr>
              <w:widowControl/>
              <w:spacing w:line="600" w:lineRule="atLeast"/>
              <w:jc w:val="center"/>
              <w:rPr>
                <w:rFonts w:ascii="仿宋" w:eastAsia="仿宋" w:hAnsi="仿宋" w:cs="宋体"/>
                <w:kern w:val="0"/>
                <w:sz w:val="24"/>
                <w:szCs w:val="24"/>
              </w:rPr>
            </w:pPr>
            <w:r w:rsidRPr="00590F68">
              <w:rPr>
                <w:rFonts w:hint="eastAsia"/>
              </w:rPr>
              <w:t>法律职业规范与伦理</w:t>
            </w:r>
          </w:p>
        </w:tc>
        <w:tc>
          <w:tcPr>
            <w:tcW w:w="1361"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选修课</w:t>
            </w: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36</w:t>
            </w: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w:t>
            </w:r>
          </w:p>
        </w:tc>
        <w:tc>
          <w:tcPr>
            <w:tcW w:w="1247"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二</w:t>
            </w:r>
          </w:p>
        </w:tc>
        <w:tc>
          <w:tcPr>
            <w:tcW w:w="1066" w:type="dxa"/>
          </w:tcPr>
          <w:p w:rsidR="00B27036" w:rsidRPr="00590F68" w:rsidRDefault="00B27036"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lastRenderedPageBreak/>
              <w:t>13</w:t>
            </w:r>
          </w:p>
        </w:tc>
        <w:tc>
          <w:tcPr>
            <w:tcW w:w="2155" w:type="dxa"/>
          </w:tcPr>
          <w:p w:rsidR="00B27036" w:rsidRPr="00590F68" w:rsidRDefault="00B27036" w:rsidP="00827AC0">
            <w:pPr>
              <w:widowControl/>
              <w:spacing w:line="600" w:lineRule="atLeast"/>
              <w:jc w:val="center"/>
            </w:pPr>
            <w:r w:rsidRPr="00590F68">
              <w:rPr>
                <w:rFonts w:hint="eastAsia"/>
              </w:rPr>
              <w:t>法律文书</w:t>
            </w:r>
          </w:p>
        </w:tc>
        <w:tc>
          <w:tcPr>
            <w:tcW w:w="1361"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选修课</w:t>
            </w: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36</w:t>
            </w: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2</w:t>
            </w:r>
          </w:p>
        </w:tc>
        <w:tc>
          <w:tcPr>
            <w:tcW w:w="1247"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二</w:t>
            </w:r>
          </w:p>
        </w:tc>
        <w:tc>
          <w:tcPr>
            <w:tcW w:w="1066" w:type="dxa"/>
          </w:tcPr>
          <w:p w:rsidR="00B27036" w:rsidRPr="00590F68" w:rsidRDefault="00827AC0" w:rsidP="00D235EF">
            <w:pPr>
              <w:widowControl/>
              <w:spacing w:line="600" w:lineRule="atLeast"/>
              <w:rPr>
                <w:rFonts w:ascii="仿宋" w:eastAsia="仿宋" w:hAnsi="仿宋" w:cs="宋体"/>
                <w:kern w:val="0"/>
                <w:sz w:val="24"/>
                <w:szCs w:val="24"/>
              </w:rPr>
            </w:pPr>
            <w:r w:rsidRPr="00590F68">
              <w:rPr>
                <w:rFonts w:hint="eastAsia"/>
              </w:rPr>
              <w:t>由律师、检察官和法官讲授</w:t>
            </w:r>
          </w:p>
        </w:tc>
      </w:tr>
      <w:tr w:rsidR="00590F68" w:rsidRPr="00590F68" w:rsidTr="00D235EF">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14</w:t>
            </w:r>
          </w:p>
        </w:tc>
        <w:tc>
          <w:tcPr>
            <w:tcW w:w="2155" w:type="dxa"/>
          </w:tcPr>
          <w:p w:rsidR="00B27036" w:rsidRPr="00590F68" w:rsidRDefault="00B27036" w:rsidP="00B27036">
            <w:pPr>
              <w:widowControl/>
              <w:spacing w:line="600" w:lineRule="atLeast"/>
              <w:jc w:val="center"/>
            </w:pPr>
            <w:r w:rsidRPr="00590F68">
              <w:rPr>
                <w:rFonts w:hint="eastAsia"/>
              </w:rPr>
              <w:t>模拟法庭训练</w:t>
            </w:r>
          </w:p>
        </w:tc>
        <w:tc>
          <w:tcPr>
            <w:tcW w:w="1361"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选修课</w:t>
            </w: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36</w:t>
            </w: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2</w:t>
            </w:r>
          </w:p>
        </w:tc>
        <w:tc>
          <w:tcPr>
            <w:tcW w:w="1247"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三</w:t>
            </w:r>
          </w:p>
        </w:tc>
        <w:tc>
          <w:tcPr>
            <w:tcW w:w="1066" w:type="dxa"/>
          </w:tcPr>
          <w:p w:rsidR="00B27036" w:rsidRPr="00590F68" w:rsidRDefault="00827AC0"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刑事、民事、行政</w:t>
            </w:r>
          </w:p>
        </w:tc>
      </w:tr>
      <w:tr w:rsidR="00590F68" w:rsidRPr="00590F68" w:rsidTr="00D235EF">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15</w:t>
            </w:r>
          </w:p>
        </w:tc>
        <w:tc>
          <w:tcPr>
            <w:tcW w:w="2155" w:type="dxa"/>
          </w:tcPr>
          <w:p w:rsidR="00B27036" w:rsidRPr="00590F68" w:rsidRDefault="00B27036" w:rsidP="00B27036">
            <w:pPr>
              <w:widowControl/>
              <w:spacing w:line="600" w:lineRule="atLeast"/>
              <w:jc w:val="center"/>
            </w:pPr>
            <w:r w:rsidRPr="00590F68">
              <w:rPr>
                <w:rFonts w:hint="eastAsia"/>
              </w:rPr>
              <w:t>法律谈判</w:t>
            </w:r>
          </w:p>
        </w:tc>
        <w:tc>
          <w:tcPr>
            <w:tcW w:w="1361"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选修课</w:t>
            </w: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36</w:t>
            </w: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2</w:t>
            </w:r>
          </w:p>
        </w:tc>
        <w:tc>
          <w:tcPr>
            <w:tcW w:w="1247"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三</w:t>
            </w:r>
          </w:p>
        </w:tc>
        <w:tc>
          <w:tcPr>
            <w:tcW w:w="1066" w:type="dxa"/>
          </w:tcPr>
          <w:p w:rsidR="00B27036" w:rsidRPr="00590F68" w:rsidRDefault="00B27036" w:rsidP="00D235EF">
            <w:pPr>
              <w:widowControl/>
              <w:spacing w:line="600" w:lineRule="atLeast"/>
              <w:rPr>
                <w:rFonts w:ascii="仿宋" w:eastAsia="仿宋" w:hAnsi="仿宋" w:cs="宋体"/>
                <w:kern w:val="0"/>
                <w:sz w:val="24"/>
                <w:szCs w:val="24"/>
              </w:rPr>
            </w:pPr>
          </w:p>
        </w:tc>
      </w:tr>
      <w:tr w:rsidR="00590F68" w:rsidRPr="00590F68" w:rsidTr="00D235EF">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16</w:t>
            </w:r>
          </w:p>
        </w:tc>
        <w:tc>
          <w:tcPr>
            <w:tcW w:w="2155" w:type="dxa"/>
          </w:tcPr>
          <w:p w:rsidR="00B27036" w:rsidRPr="00590F68" w:rsidRDefault="00B27036" w:rsidP="00B27036">
            <w:pPr>
              <w:widowControl/>
              <w:spacing w:line="600" w:lineRule="atLeast"/>
              <w:jc w:val="center"/>
            </w:pPr>
            <w:r w:rsidRPr="00590F68">
              <w:rPr>
                <w:rFonts w:hint="eastAsia"/>
              </w:rPr>
              <w:t>法律实务实习</w:t>
            </w:r>
          </w:p>
        </w:tc>
        <w:tc>
          <w:tcPr>
            <w:tcW w:w="1361" w:type="dxa"/>
          </w:tcPr>
          <w:p w:rsidR="00B27036" w:rsidRPr="00590F68" w:rsidRDefault="00B27036" w:rsidP="00D235EF">
            <w:pPr>
              <w:widowControl/>
              <w:spacing w:line="600" w:lineRule="atLeast"/>
              <w:rPr>
                <w:rFonts w:ascii="仿宋" w:eastAsia="仿宋" w:hAnsi="仿宋" w:cs="宋体"/>
                <w:kern w:val="0"/>
                <w:sz w:val="24"/>
                <w:szCs w:val="24"/>
              </w:rPr>
            </w:pP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6个月</w:t>
            </w: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6</w:t>
            </w:r>
          </w:p>
        </w:tc>
        <w:tc>
          <w:tcPr>
            <w:tcW w:w="1247"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三</w:t>
            </w:r>
          </w:p>
        </w:tc>
        <w:tc>
          <w:tcPr>
            <w:tcW w:w="1066"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hint="eastAsia"/>
              </w:rPr>
              <w:t>  </w:t>
            </w:r>
            <w:r w:rsidRPr="00590F68">
              <w:rPr>
                <w:rFonts w:hint="eastAsia"/>
              </w:rPr>
              <w:t>在法院、检察院、律师事务所、法律援助机构、公证处等司法实际单位或政府法制部门、企事业单位法律工作部门实习</w:t>
            </w:r>
          </w:p>
        </w:tc>
      </w:tr>
      <w:tr w:rsidR="00590F68" w:rsidRPr="00590F68" w:rsidTr="00D235EF">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17</w:t>
            </w:r>
          </w:p>
        </w:tc>
        <w:tc>
          <w:tcPr>
            <w:tcW w:w="2155" w:type="dxa"/>
          </w:tcPr>
          <w:p w:rsidR="00B27036" w:rsidRPr="00590F68" w:rsidRDefault="00B27036" w:rsidP="00B27036">
            <w:pPr>
              <w:widowControl/>
              <w:spacing w:line="600" w:lineRule="atLeast"/>
              <w:jc w:val="center"/>
            </w:pPr>
            <w:r w:rsidRPr="00590F68">
              <w:rPr>
                <w:rFonts w:hint="eastAsia"/>
              </w:rPr>
              <w:t>学位论文</w:t>
            </w:r>
          </w:p>
        </w:tc>
        <w:tc>
          <w:tcPr>
            <w:tcW w:w="1361" w:type="dxa"/>
          </w:tcPr>
          <w:p w:rsidR="00B27036" w:rsidRPr="00590F68" w:rsidRDefault="00B27036" w:rsidP="00D235EF">
            <w:pPr>
              <w:widowControl/>
              <w:spacing w:line="600" w:lineRule="atLeast"/>
              <w:rPr>
                <w:rFonts w:ascii="仿宋" w:eastAsia="仿宋" w:hAnsi="仿宋" w:cs="宋体"/>
                <w:kern w:val="0"/>
                <w:sz w:val="24"/>
                <w:szCs w:val="24"/>
              </w:rPr>
            </w:pP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p>
        </w:tc>
        <w:tc>
          <w:tcPr>
            <w:tcW w:w="1065"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5</w:t>
            </w:r>
          </w:p>
        </w:tc>
        <w:tc>
          <w:tcPr>
            <w:tcW w:w="1247" w:type="dxa"/>
          </w:tcPr>
          <w:p w:rsidR="00B27036" w:rsidRPr="00590F68" w:rsidRDefault="00B27036" w:rsidP="00D235EF">
            <w:pPr>
              <w:widowControl/>
              <w:spacing w:line="600" w:lineRule="atLeast"/>
              <w:rPr>
                <w:rFonts w:ascii="仿宋" w:eastAsia="仿宋" w:hAnsi="仿宋" w:cs="宋体"/>
                <w:kern w:val="0"/>
                <w:sz w:val="24"/>
                <w:szCs w:val="24"/>
              </w:rPr>
            </w:pPr>
            <w:r w:rsidRPr="00590F68">
              <w:rPr>
                <w:rFonts w:ascii="仿宋" w:eastAsia="仿宋" w:hAnsi="仿宋" w:cs="宋体" w:hint="eastAsia"/>
                <w:kern w:val="0"/>
                <w:sz w:val="24"/>
                <w:szCs w:val="24"/>
              </w:rPr>
              <w:t>三至四</w:t>
            </w:r>
          </w:p>
        </w:tc>
        <w:tc>
          <w:tcPr>
            <w:tcW w:w="1066" w:type="dxa"/>
          </w:tcPr>
          <w:p w:rsidR="00B27036" w:rsidRPr="00590F68" w:rsidRDefault="00B27036" w:rsidP="00D235EF">
            <w:pPr>
              <w:widowControl/>
              <w:spacing w:line="600" w:lineRule="atLeast"/>
            </w:pPr>
          </w:p>
        </w:tc>
        <w:bookmarkStart w:id="0" w:name="_GoBack"/>
        <w:bookmarkEnd w:id="0"/>
      </w:tr>
    </w:tbl>
    <w:p w:rsidR="00D235EF" w:rsidRPr="00590F68" w:rsidRDefault="00D235EF">
      <w:pPr>
        <w:widowControl/>
        <w:jc w:val="left"/>
      </w:pPr>
    </w:p>
    <w:sectPr w:rsidR="00D235EF" w:rsidRPr="00590F68" w:rsidSect="00105E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95" w:rsidRDefault="00012695" w:rsidP="00295820">
      <w:r>
        <w:separator/>
      </w:r>
    </w:p>
  </w:endnote>
  <w:endnote w:type="continuationSeparator" w:id="0">
    <w:p w:rsidR="00012695" w:rsidRDefault="00012695" w:rsidP="0029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95" w:rsidRDefault="00012695" w:rsidP="00295820">
      <w:r>
        <w:separator/>
      </w:r>
    </w:p>
  </w:footnote>
  <w:footnote w:type="continuationSeparator" w:id="0">
    <w:p w:rsidR="00012695" w:rsidRDefault="00012695" w:rsidP="00295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65EBB"/>
    <w:multiLevelType w:val="singleLevel"/>
    <w:tmpl w:val="57D65EBB"/>
    <w:lvl w:ilvl="0">
      <w:start w:val="1"/>
      <w:numFmt w:val="decimal"/>
      <w:suff w:val="space"/>
      <w:lvlText w:val="%1."/>
      <w:lvlJc w:val="left"/>
    </w:lvl>
  </w:abstractNum>
  <w:abstractNum w:abstractNumId="1" w15:restartNumberingAfterBreak="0">
    <w:nsid w:val="57D66B38"/>
    <w:multiLevelType w:val="singleLevel"/>
    <w:tmpl w:val="57D66B38"/>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20"/>
    <w:rsid w:val="00012695"/>
    <w:rsid w:val="000D5877"/>
    <w:rsid w:val="00105E00"/>
    <w:rsid w:val="0028183C"/>
    <w:rsid w:val="00295820"/>
    <w:rsid w:val="002A6B56"/>
    <w:rsid w:val="002C4C68"/>
    <w:rsid w:val="002E2213"/>
    <w:rsid w:val="00452D7C"/>
    <w:rsid w:val="00496CC5"/>
    <w:rsid w:val="004A697F"/>
    <w:rsid w:val="00590F68"/>
    <w:rsid w:val="005D2DEE"/>
    <w:rsid w:val="006C2DF5"/>
    <w:rsid w:val="006D740B"/>
    <w:rsid w:val="00707D69"/>
    <w:rsid w:val="007923B9"/>
    <w:rsid w:val="00827AC0"/>
    <w:rsid w:val="009453F4"/>
    <w:rsid w:val="00953139"/>
    <w:rsid w:val="00995AE3"/>
    <w:rsid w:val="00A875E1"/>
    <w:rsid w:val="00AA6F7C"/>
    <w:rsid w:val="00B27036"/>
    <w:rsid w:val="00C74D81"/>
    <w:rsid w:val="00D00581"/>
    <w:rsid w:val="00D235EF"/>
    <w:rsid w:val="00E237AC"/>
    <w:rsid w:val="00EA7FD5"/>
    <w:rsid w:val="00F17091"/>
    <w:rsid w:val="00F92A63"/>
    <w:rsid w:val="00FB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398CD0-BFD6-44F5-9B24-A4A8370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8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5820"/>
    <w:rPr>
      <w:sz w:val="18"/>
      <w:szCs w:val="18"/>
    </w:rPr>
  </w:style>
  <w:style w:type="paragraph" w:styleId="a5">
    <w:name w:val="footer"/>
    <w:basedOn w:val="a"/>
    <w:link w:val="a6"/>
    <w:uiPriority w:val="99"/>
    <w:unhideWhenUsed/>
    <w:rsid w:val="00295820"/>
    <w:pPr>
      <w:tabs>
        <w:tab w:val="center" w:pos="4153"/>
        <w:tab w:val="right" w:pos="8306"/>
      </w:tabs>
      <w:snapToGrid w:val="0"/>
      <w:jc w:val="left"/>
    </w:pPr>
    <w:rPr>
      <w:sz w:val="18"/>
      <w:szCs w:val="18"/>
    </w:rPr>
  </w:style>
  <w:style w:type="character" w:customStyle="1" w:styleId="a6">
    <w:name w:val="页脚 字符"/>
    <w:basedOn w:val="a0"/>
    <w:link w:val="a5"/>
    <w:uiPriority w:val="99"/>
    <w:rsid w:val="00295820"/>
    <w:rPr>
      <w:sz w:val="18"/>
      <w:szCs w:val="18"/>
    </w:rPr>
  </w:style>
  <w:style w:type="table" w:styleId="a7">
    <w:name w:val="Table Grid"/>
    <w:basedOn w:val="a1"/>
    <w:uiPriority w:val="59"/>
    <w:rsid w:val="002958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rsid w:val="00295820"/>
    <w:pPr>
      <w:widowControl/>
      <w:spacing w:before="100" w:beforeAutospacing="1" w:after="100" w:afterAutospacing="1"/>
      <w:jc w:val="left"/>
    </w:pPr>
    <w:rPr>
      <w:rFonts w:ascii="宋体" w:eastAsia="宋体" w:hAnsi="宋体" w:cs="宋体"/>
      <w:kern w:val="0"/>
      <w:sz w:val="24"/>
      <w:szCs w:val="24"/>
    </w:rPr>
  </w:style>
  <w:style w:type="paragraph" w:styleId="a9">
    <w:name w:val="Normal Indent"/>
    <w:basedOn w:val="a"/>
    <w:unhideWhenUsed/>
    <w:qFormat/>
    <w:rsid w:val="00295820"/>
    <w:pPr>
      <w:ind w:firstLine="420"/>
    </w:pPr>
    <w:rPr>
      <w:rFonts w:ascii="Times New Roman" w:eastAsia="宋体" w:hAnsi="Times New Roman" w:cs="Times New Roman"/>
      <w:sz w:val="24"/>
      <w:szCs w:val="21"/>
    </w:rPr>
  </w:style>
  <w:style w:type="character" w:customStyle="1" w:styleId="current1">
    <w:name w:val="current1"/>
    <w:basedOn w:val="a0"/>
    <w:rsid w:val="006C2DF5"/>
    <w:rPr>
      <w:color w:val="FFFFFF"/>
      <w:bdr w:val="single" w:sz="6" w:space="0" w:color="6699CC"/>
      <w:shd w:val="clear" w:color="auto" w:fill="6699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王旭</dc:creator>
  <cp:lastModifiedBy>Windows User</cp:lastModifiedBy>
  <cp:revision>13</cp:revision>
  <dcterms:created xsi:type="dcterms:W3CDTF">2016-10-11T08:45:00Z</dcterms:created>
  <dcterms:modified xsi:type="dcterms:W3CDTF">2018-05-12T14:53:00Z</dcterms:modified>
</cp:coreProperties>
</file>