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03B" w:rsidRPr="00102863" w:rsidRDefault="00B4103B">
      <w:pPr>
        <w:autoSpaceDE w:val="0"/>
        <w:autoSpaceDN w:val="0"/>
        <w:adjustRightInd w:val="0"/>
        <w:spacing w:line="360" w:lineRule="auto"/>
        <w:rPr>
          <w:rFonts w:ascii="楷体_GB2312" w:eastAsia="楷体_GB2312" w:hAnsi="宋体"/>
          <w:b/>
          <w:color w:val="000000"/>
          <w:kern w:val="0"/>
          <w:sz w:val="30"/>
          <w:szCs w:val="30"/>
        </w:rPr>
      </w:pPr>
      <w:r w:rsidRPr="00102863">
        <w:rPr>
          <w:rFonts w:ascii="楷体_GB2312" w:eastAsia="楷体_GB2312" w:hAnsi="宋体" w:hint="eastAsia"/>
          <w:b/>
          <w:color w:val="000000"/>
          <w:kern w:val="0"/>
          <w:sz w:val="30"/>
          <w:szCs w:val="30"/>
        </w:rPr>
        <w:t>附件</w:t>
      </w:r>
      <w:r w:rsidR="00893B44" w:rsidRPr="00102863">
        <w:rPr>
          <w:rFonts w:ascii="楷体_GB2312" w:eastAsia="楷体_GB2312" w:hAnsi="宋体" w:hint="eastAsia"/>
          <w:b/>
          <w:color w:val="000000"/>
          <w:kern w:val="0"/>
          <w:sz w:val="30"/>
          <w:szCs w:val="30"/>
        </w:rPr>
        <w:t>1</w:t>
      </w:r>
      <w:r w:rsidRPr="00102863">
        <w:rPr>
          <w:rFonts w:ascii="楷体_GB2312" w:eastAsia="楷体_GB2312" w:hAnsi="宋体" w:hint="eastAsia"/>
          <w:b/>
          <w:color w:val="000000"/>
          <w:kern w:val="0"/>
          <w:sz w:val="30"/>
          <w:szCs w:val="30"/>
        </w:rPr>
        <w:t>：</w:t>
      </w:r>
    </w:p>
    <w:p w:rsidR="00D03073" w:rsidRPr="007F5D2E" w:rsidRDefault="00D03073" w:rsidP="00D03073">
      <w:pPr>
        <w:autoSpaceDE w:val="0"/>
        <w:autoSpaceDN w:val="0"/>
        <w:adjustRightInd w:val="0"/>
        <w:spacing w:line="580" w:lineRule="exact"/>
        <w:jc w:val="center"/>
        <w:rPr>
          <w:rFonts w:ascii="方正小标宋简体" w:eastAsia="方正小标宋简体" w:hAnsi="黑体"/>
          <w:bCs/>
          <w:color w:val="000000"/>
          <w:kern w:val="0"/>
          <w:sz w:val="44"/>
          <w:szCs w:val="32"/>
        </w:rPr>
      </w:pPr>
      <w:r w:rsidRPr="007F5D2E">
        <w:rPr>
          <w:rFonts w:ascii="方正小标宋简体" w:eastAsia="方正小标宋简体" w:hAnsi="黑体" w:hint="eastAsia"/>
          <w:bCs/>
          <w:color w:val="000000"/>
          <w:kern w:val="0"/>
          <w:sz w:val="44"/>
          <w:szCs w:val="32"/>
        </w:rPr>
        <w:t>中国政法大学研究生课堂教学和学习指导</w:t>
      </w:r>
    </w:p>
    <w:p w:rsidR="00D03073" w:rsidRPr="007F5D2E" w:rsidRDefault="00D03073" w:rsidP="00D03073">
      <w:pPr>
        <w:autoSpaceDE w:val="0"/>
        <w:autoSpaceDN w:val="0"/>
        <w:adjustRightInd w:val="0"/>
        <w:spacing w:line="580" w:lineRule="exact"/>
        <w:jc w:val="center"/>
        <w:rPr>
          <w:rFonts w:ascii="方正小标宋简体" w:eastAsia="方正小标宋简体" w:hAnsi="黑体"/>
          <w:bCs/>
          <w:color w:val="000000"/>
          <w:kern w:val="0"/>
          <w:sz w:val="44"/>
          <w:szCs w:val="32"/>
        </w:rPr>
      </w:pPr>
      <w:r w:rsidRPr="007F5D2E">
        <w:rPr>
          <w:rFonts w:ascii="方正小标宋简体" w:eastAsia="方正小标宋简体" w:hAnsi="黑体" w:hint="eastAsia"/>
          <w:bCs/>
          <w:color w:val="000000"/>
          <w:kern w:val="0"/>
          <w:sz w:val="44"/>
          <w:szCs w:val="32"/>
        </w:rPr>
        <w:t>超工作量津贴实施办法（试行）</w:t>
      </w:r>
    </w:p>
    <w:p w:rsidR="00D03073" w:rsidRPr="007F5D2E" w:rsidRDefault="00D03073" w:rsidP="00D03073">
      <w:pPr>
        <w:autoSpaceDE w:val="0"/>
        <w:autoSpaceDN w:val="0"/>
        <w:adjustRightInd w:val="0"/>
        <w:spacing w:line="520" w:lineRule="exact"/>
        <w:jc w:val="center"/>
        <w:rPr>
          <w:rFonts w:ascii="宋体" w:hAnsi="宋体"/>
          <w:b/>
          <w:bCs/>
          <w:color w:val="000000"/>
          <w:kern w:val="0"/>
          <w:sz w:val="32"/>
          <w:szCs w:val="32"/>
        </w:rPr>
      </w:pPr>
    </w:p>
    <w:p w:rsidR="00D03073" w:rsidRPr="007F5D2E" w:rsidRDefault="00D03073" w:rsidP="00D03073">
      <w:pPr>
        <w:pStyle w:val="BodyText"/>
        <w:spacing w:line="520" w:lineRule="exact"/>
        <w:ind w:firstLineChars="200" w:firstLine="640"/>
        <w:rPr>
          <w:rFonts w:ascii="仿宋_GB2312" w:eastAsia="仿宋_GB2312"/>
          <w:sz w:val="32"/>
          <w:szCs w:val="32"/>
        </w:rPr>
      </w:pPr>
      <w:r w:rsidRPr="007F5D2E">
        <w:rPr>
          <w:rFonts w:ascii="仿宋_GB2312" w:eastAsia="仿宋_GB2312" w:hint="eastAsia"/>
          <w:sz w:val="32"/>
          <w:szCs w:val="32"/>
        </w:rPr>
        <w:t>为充分发挥教师在研究生培养方面的整体优势，鼓励教师做好研究生课堂教学和学习指导工作，保障研究生培养质量，结合我校研究生培养具体情况，制定本办法。</w:t>
      </w:r>
    </w:p>
    <w:p w:rsidR="00D03073" w:rsidRPr="00FA3DA1" w:rsidRDefault="00D03073" w:rsidP="00D03073">
      <w:pPr>
        <w:adjustRightInd w:val="0"/>
        <w:snapToGrid w:val="0"/>
        <w:spacing w:line="560" w:lineRule="exact"/>
        <w:ind w:firstLineChars="200" w:firstLine="640"/>
        <w:rPr>
          <w:rFonts w:ascii="黑体" w:eastAsia="黑体" w:hAnsi="黑体"/>
          <w:sz w:val="32"/>
          <w:szCs w:val="32"/>
        </w:rPr>
      </w:pPr>
      <w:r w:rsidRPr="00FA3DA1">
        <w:rPr>
          <w:rFonts w:ascii="黑体" w:eastAsia="黑体" w:hAnsi="黑体" w:hint="eastAsia"/>
          <w:sz w:val="32"/>
          <w:szCs w:val="32"/>
        </w:rPr>
        <w:t>一、津贴范围</w:t>
      </w:r>
    </w:p>
    <w:p w:rsidR="00D03073" w:rsidRPr="00D03073"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D03073">
        <w:rPr>
          <w:rFonts w:ascii="楷体" w:eastAsia="楷体" w:hAnsi="楷体" w:hint="eastAsia"/>
          <w:color w:val="000000"/>
          <w:kern w:val="0"/>
          <w:sz w:val="32"/>
          <w:szCs w:val="32"/>
        </w:rPr>
        <w:t>（一）本办法所指的研究生是指我校在籍硕士研究生和博士研究生。</w:t>
      </w:r>
    </w:p>
    <w:p w:rsidR="00D03073" w:rsidRPr="00D03073"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D03073">
        <w:rPr>
          <w:rFonts w:ascii="楷体" w:eastAsia="楷体" w:hAnsi="楷体" w:hint="eastAsia"/>
          <w:color w:val="000000"/>
          <w:kern w:val="0"/>
          <w:sz w:val="32"/>
          <w:szCs w:val="32"/>
        </w:rPr>
        <w:t>（二）研究生课堂教学超工作量是指教师在每学年内按教学计划，承担上述各类研究生课堂教学任务按系数折合后超出基础量的教学工作；研究生学习指导超工作量是指导师指导研究生在校人数按比例折合后超出基础指导量的部分。</w:t>
      </w:r>
    </w:p>
    <w:p w:rsidR="00D03073" w:rsidRPr="00D03073"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D03073">
        <w:rPr>
          <w:rFonts w:ascii="楷体" w:eastAsia="楷体" w:hAnsi="楷体" w:hint="eastAsia"/>
          <w:color w:val="000000"/>
          <w:kern w:val="0"/>
          <w:sz w:val="32"/>
          <w:szCs w:val="32"/>
        </w:rPr>
        <w:t>（三）研究生公共学位课和外语教师承担专业外语课课堂教学超工作量津贴按《中国政法大学本科生课堂教学超工作量奖励办法》规定执行。</w:t>
      </w:r>
    </w:p>
    <w:p w:rsidR="00D03073" w:rsidRPr="00FA3DA1" w:rsidRDefault="00D03073" w:rsidP="00D03073">
      <w:pPr>
        <w:adjustRightInd w:val="0"/>
        <w:snapToGrid w:val="0"/>
        <w:spacing w:line="560" w:lineRule="exact"/>
        <w:ind w:firstLineChars="200" w:firstLine="640"/>
        <w:rPr>
          <w:rFonts w:ascii="黑体" w:eastAsia="黑体" w:hAnsi="黑体"/>
          <w:sz w:val="32"/>
          <w:szCs w:val="32"/>
        </w:rPr>
      </w:pPr>
      <w:r w:rsidRPr="00FA3DA1">
        <w:rPr>
          <w:rFonts w:ascii="黑体" w:eastAsia="黑体" w:hAnsi="黑体" w:hint="eastAsia"/>
          <w:sz w:val="32"/>
          <w:szCs w:val="32"/>
        </w:rPr>
        <w:t>二、工作内容</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教师承担研究生课堂教学同时应完成与课堂教学相关的备课、命题和阅卷等教学工作；教师承担研究生学习指导工作包括指导研究生制定个人培养计划、指导学习、指导研究、各培养环节执行情况的检查、监督和指导学位论文等。</w:t>
      </w:r>
    </w:p>
    <w:p w:rsidR="00D03073" w:rsidRPr="00FA3DA1" w:rsidRDefault="00D03073" w:rsidP="00D03073">
      <w:pPr>
        <w:adjustRightInd w:val="0"/>
        <w:snapToGrid w:val="0"/>
        <w:spacing w:line="560" w:lineRule="exact"/>
        <w:ind w:firstLineChars="200" w:firstLine="640"/>
        <w:rPr>
          <w:rFonts w:ascii="黑体" w:eastAsia="黑体" w:hAnsi="黑体"/>
          <w:sz w:val="32"/>
          <w:szCs w:val="32"/>
        </w:rPr>
      </w:pPr>
      <w:r w:rsidRPr="00FA3DA1">
        <w:rPr>
          <w:rFonts w:ascii="黑体" w:eastAsia="黑体" w:hAnsi="黑体" w:hint="eastAsia"/>
          <w:sz w:val="32"/>
          <w:szCs w:val="32"/>
        </w:rPr>
        <w:t>三、课堂教学超工作量津贴</w:t>
      </w:r>
    </w:p>
    <w:p w:rsidR="00D03073" w:rsidRPr="007F5D2E"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7F5D2E">
        <w:rPr>
          <w:rFonts w:ascii="楷体" w:eastAsia="楷体" w:hAnsi="楷体" w:hint="eastAsia"/>
          <w:color w:val="000000"/>
          <w:kern w:val="0"/>
          <w:sz w:val="32"/>
          <w:szCs w:val="32"/>
        </w:rPr>
        <w:t>（一）研究生课堂教学超工作量津贴是指承担研究生</w:t>
      </w:r>
      <w:r w:rsidRPr="007F5D2E">
        <w:rPr>
          <w:rFonts w:ascii="楷体" w:eastAsia="楷体" w:hAnsi="楷体" w:hint="eastAsia"/>
          <w:color w:val="000000"/>
          <w:kern w:val="0"/>
          <w:sz w:val="32"/>
          <w:szCs w:val="32"/>
        </w:rPr>
        <w:lastRenderedPageBreak/>
        <w:t>专业课授课（含非外语教师承担研究生专业外语教学工作）超基础量范围内应享受的教学津贴。</w:t>
      </w:r>
    </w:p>
    <w:p w:rsidR="00D03073" w:rsidRPr="007F5D2E"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7F5D2E">
        <w:rPr>
          <w:rFonts w:ascii="楷体" w:eastAsia="楷体" w:hAnsi="楷体" w:hint="eastAsia"/>
          <w:color w:val="000000"/>
          <w:kern w:val="0"/>
          <w:sz w:val="32"/>
          <w:szCs w:val="32"/>
        </w:rPr>
        <w:t>（二）研究生课堂教学基础工作量和享受津贴范围</w:t>
      </w:r>
    </w:p>
    <w:p w:rsidR="000C257B" w:rsidRPr="000C257B" w:rsidRDefault="000C257B" w:rsidP="00D03073">
      <w:pPr>
        <w:autoSpaceDE w:val="0"/>
        <w:autoSpaceDN w:val="0"/>
        <w:adjustRightInd w:val="0"/>
        <w:spacing w:line="520" w:lineRule="exact"/>
        <w:ind w:firstLineChars="200" w:firstLine="640"/>
        <w:jc w:val="left"/>
        <w:rPr>
          <w:rFonts w:ascii="仿宋_GB2312" w:eastAsia="仿宋_GB2312" w:hAnsi="宋体"/>
          <w:color w:val="FF0000"/>
          <w:kern w:val="0"/>
          <w:sz w:val="32"/>
          <w:szCs w:val="32"/>
          <w:highlight w:val="yellow"/>
        </w:rPr>
      </w:pPr>
      <w:r w:rsidRPr="000C257B">
        <w:rPr>
          <w:rFonts w:ascii="仿宋_GB2312" w:eastAsia="仿宋_GB2312" w:hAnsi="宋体" w:hint="eastAsia"/>
          <w:color w:val="FF0000"/>
          <w:kern w:val="0"/>
          <w:sz w:val="32"/>
          <w:szCs w:val="32"/>
          <w:highlight w:val="yellow"/>
        </w:rPr>
        <w:t>因为课时由18课时/学分，改为16课时/学分，所以现在相应是基础量课时数是减少，即：</w:t>
      </w:r>
    </w:p>
    <w:p w:rsidR="00D03073" w:rsidRPr="000C257B" w:rsidRDefault="00D03073" w:rsidP="00D03073">
      <w:pPr>
        <w:autoSpaceDE w:val="0"/>
        <w:autoSpaceDN w:val="0"/>
        <w:adjustRightInd w:val="0"/>
        <w:spacing w:line="520" w:lineRule="exact"/>
        <w:ind w:firstLineChars="200" w:firstLine="640"/>
        <w:jc w:val="left"/>
        <w:rPr>
          <w:rFonts w:ascii="仿宋_GB2312" w:eastAsia="仿宋_GB2312" w:hAnsi="宋体"/>
          <w:color w:val="FF0000"/>
          <w:kern w:val="0"/>
          <w:sz w:val="32"/>
          <w:szCs w:val="32"/>
          <w:highlight w:val="yellow"/>
        </w:rPr>
      </w:pPr>
      <w:r w:rsidRPr="000C257B">
        <w:rPr>
          <w:rFonts w:ascii="仿宋_GB2312" w:eastAsia="仿宋_GB2312" w:hAnsi="宋体" w:hint="eastAsia"/>
          <w:color w:val="FF0000"/>
          <w:kern w:val="0"/>
          <w:sz w:val="32"/>
          <w:szCs w:val="32"/>
          <w:highlight w:val="yellow"/>
        </w:rPr>
        <w:t>教  授：基础量：</w:t>
      </w:r>
      <w:r w:rsidR="000C257B" w:rsidRPr="000C257B">
        <w:rPr>
          <w:rFonts w:ascii="仿宋_GB2312" w:eastAsia="仿宋_GB2312" w:hAnsi="宋体"/>
          <w:color w:val="FF0000"/>
          <w:kern w:val="0"/>
          <w:sz w:val="32"/>
          <w:szCs w:val="32"/>
          <w:highlight w:val="yellow"/>
        </w:rPr>
        <w:t>64</w:t>
      </w:r>
      <w:r w:rsidRPr="000C257B">
        <w:rPr>
          <w:rFonts w:ascii="仿宋_GB2312" w:eastAsia="仿宋_GB2312" w:hAnsi="宋体" w:hint="eastAsia"/>
          <w:color w:val="FF0000"/>
          <w:kern w:val="0"/>
          <w:sz w:val="32"/>
          <w:szCs w:val="32"/>
          <w:highlight w:val="yellow"/>
        </w:rPr>
        <w:t>学时；享受津贴范围：</w:t>
      </w:r>
      <w:r w:rsidR="000C257B" w:rsidRPr="000C257B">
        <w:rPr>
          <w:rFonts w:ascii="仿宋_GB2312" w:eastAsia="仿宋_GB2312" w:hAnsi="宋体"/>
          <w:color w:val="FF0000"/>
          <w:kern w:val="0"/>
          <w:sz w:val="32"/>
          <w:szCs w:val="32"/>
          <w:highlight w:val="yellow"/>
        </w:rPr>
        <w:t>65</w:t>
      </w:r>
      <w:r w:rsidRPr="000C257B">
        <w:rPr>
          <w:rFonts w:ascii="仿宋_GB2312" w:eastAsia="仿宋_GB2312" w:hAnsi="宋体" w:hint="eastAsia"/>
          <w:color w:val="FF0000"/>
          <w:kern w:val="0"/>
          <w:sz w:val="32"/>
          <w:szCs w:val="32"/>
          <w:highlight w:val="yellow"/>
        </w:rPr>
        <w:t>学时以上</w:t>
      </w:r>
      <w:r w:rsidR="000C257B" w:rsidRPr="000C257B">
        <w:rPr>
          <w:rFonts w:ascii="仿宋_GB2312" w:eastAsia="仿宋_GB2312" w:hAnsi="宋体"/>
          <w:color w:val="FF0000"/>
          <w:kern w:val="0"/>
          <w:sz w:val="32"/>
          <w:szCs w:val="32"/>
          <w:highlight w:val="yellow"/>
        </w:rPr>
        <w:t>96</w:t>
      </w:r>
      <w:r w:rsidRPr="000C257B">
        <w:rPr>
          <w:rFonts w:ascii="仿宋_GB2312" w:eastAsia="仿宋_GB2312" w:hAnsi="宋体" w:hint="eastAsia"/>
          <w:color w:val="FF0000"/>
          <w:kern w:val="0"/>
          <w:sz w:val="32"/>
          <w:szCs w:val="32"/>
          <w:highlight w:val="yellow"/>
        </w:rPr>
        <w:t>学时以内。</w:t>
      </w:r>
    </w:p>
    <w:p w:rsidR="00D03073" w:rsidRPr="000C257B" w:rsidRDefault="00D03073" w:rsidP="00D03073">
      <w:pPr>
        <w:autoSpaceDE w:val="0"/>
        <w:autoSpaceDN w:val="0"/>
        <w:adjustRightInd w:val="0"/>
        <w:spacing w:line="520" w:lineRule="exact"/>
        <w:ind w:firstLineChars="200" w:firstLine="640"/>
        <w:jc w:val="left"/>
        <w:rPr>
          <w:rFonts w:ascii="仿宋_GB2312" w:eastAsia="仿宋_GB2312" w:hAnsi="宋体"/>
          <w:color w:val="FF0000"/>
          <w:kern w:val="0"/>
          <w:sz w:val="32"/>
          <w:szCs w:val="32"/>
          <w:highlight w:val="yellow"/>
        </w:rPr>
      </w:pPr>
      <w:r w:rsidRPr="000C257B">
        <w:rPr>
          <w:rFonts w:ascii="仿宋_GB2312" w:eastAsia="仿宋_GB2312" w:hAnsi="宋体" w:hint="eastAsia"/>
          <w:color w:val="FF0000"/>
          <w:kern w:val="0"/>
          <w:sz w:val="32"/>
          <w:szCs w:val="32"/>
          <w:highlight w:val="yellow"/>
        </w:rPr>
        <w:t>副教授：基础量：</w:t>
      </w:r>
      <w:r w:rsidR="000C257B" w:rsidRPr="000C257B">
        <w:rPr>
          <w:rFonts w:ascii="仿宋_GB2312" w:eastAsia="仿宋_GB2312" w:hAnsi="宋体"/>
          <w:color w:val="FF0000"/>
          <w:kern w:val="0"/>
          <w:sz w:val="32"/>
          <w:szCs w:val="32"/>
          <w:highlight w:val="yellow"/>
        </w:rPr>
        <w:t>48</w:t>
      </w:r>
      <w:r w:rsidRPr="000C257B">
        <w:rPr>
          <w:rFonts w:ascii="仿宋_GB2312" w:eastAsia="仿宋_GB2312" w:hAnsi="宋体" w:hint="eastAsia"/>
          <w:color w:val="FF0000"/>
          <w:kern w:val="0"/>
          <w:sz w:val="32"/>
          <w:szCs w:val="32"/>
          <w:highlight w:val="yellow"/>
        </w:rPr>
        <w:t>学时；享受津贴范围：</w:t>
      </w:r>
      <w:r w:rsidR="000C257B" w:rsidRPr="000C257B">
        <w:rPr>
          <w:rFonts w:ascii="仿宋_GB2312" w:eastAsia="仿宋_GB2312" w:hAnsi="宋体"/>
          <w:color w:val="FF0000"/>
          <w:kern w:val="0"/>
          <w:sz w:val="32"/>
          <w:szCs w:val="32"/>
          <w:highlight w:val="yellow"/>
        </w:rPr>
        <w:t>49</w:t>
      </w:r>
      <w:r w:rsidRPr="000C257B">
        <w:rPr>
          <w:rFonts w:ascii="仿宋_GB2312" w:eastAsia="仿宋_GB2312" w:hAnsi="宋体" w:hint="eastAsia"/>
          <w:color w:val="FF0000"/>
          <w:kern w:val="0"/>
          <w:sz w:val="32"/>
          <w:szCs w:val="32"/>
          <w:highlight w:val="yellow"/>
        </w:rPr>
        <w:t>学时以上</w:t>
      </w:r>
      <w:r w:rsidR="000C257B" w:rsidRPr="000C257B">
        <w:rPr>
          <w:rFonts w:ascii="仿宋_GB2312" w:eastAsia="仿宋_GB2312" w:hAnsi="宋体"/>
          <w:color w:val="FF0000"/>
          <w:kern w:val="0"/>
          <w:sz w:val="32"/>
          <w:szCs w:val="32"/>
          <w:highlight w:val="yellow"/>
        </w:rPr>
        <w:t>80</w:t>
      </w:r>
      <w:r w:rsidRPr="000C257B">
        <w:rPr>
          <w:rFonts w:ascii="仿宋_GB2312" w:eastAsia="仿宋_GB2312" w:hAnsi="宋体" w:hint="eastAsia"/>
          <w:color w:val="FF0000"/>
          <w:kern w:val="0"/>
          <w:sz w:val="32"/>
          <w:szCs w:val="32"/>
          <w:highlight w:val="yellow"/>
        </w:rPr>
        <w:t>学时以内。</w:t>
      </w:r>
    </w:p>
    <w:p w:rsidR="00D03073" w:rsidRPr="000C257B" w:rsidRDefault="00D03073" w:rsidP="00D03073">
      <w:pPr>
        <w:autoSpaceDE w:val="0"/>
        <w:autoSpaceDN w:val="0"/>
        <w:adjustRightInd w:val="0"/>
        <w:spacing w:line="520" w:lineRule="exact"/>
        <w:ind w:firstLineChars="200" w:firstLine="640"/>
        <w:jc w:val="left"/>
        <w:rPr>
          <w:rFonts w:ascii="仿宋_GB2312" w:eastAsia="仿宋_GB2312" w:hAnsi="宋体"/>
          <w:color w:val="FF0000"/>
          <w:kern w:val="0"/>
          <w:sz w:val="32"/>
          <w:szCs w:val="32"/>
        </w:rPr>
      </w:pPr>
      <w:r w:rsidRPr="000C257B">
        <w:rPr>
          <w:rFonts w:ascii="仿宋_GB2312" w:eastAsia="仿宋_GB2312" w:hAnsi="宋体" w:hint="eastAsia"/>
          <w:color w:val="FF0000"/>
          <w:kern w:val="0"/>
          <w:sz w:val="32"/>
          <w:szCs w:val="32"/>
          <w:highlight w:val="yellow"/>
        </w:rPr>
        <w:t>讲  师：基础量：</w:t>
      </w:r>
      <w:r w:rsidR="000C257B" w:rsidRPr="000C257B">
        <w:rPr>
          <w:rFonts w:ascii="仿宋_GB2312" w:eastAsia="仿宋_GB2312" w:hAnsi="宋体"/>
          <w:color w:val="FF0000"/>
          <w:kern w:val="0"/>
          <w:sz w:val="32"/>
          <w:szCs w:val="32"/>
          <w:highlight w:val="yellow"/>
        </w:rPr>
        <w:t>32</w:t>
      </w:r>
      <w:r w:rsidRPr="000C257B">
        <w:rPr>
          <w:rFonts w:ascii="仿宋_GB2312" w:eastAsia="仿宋_GB2312" w:hAnsi="宋体" w:hint="eastAsia"/>
          <w:color w:val="FF0000"/>
          <w:kern w:val="0"/>
          <w:sz w:val="32"/>
          <w:szCs w:val="32"/>
          <w:highlight w:val="yellow"/>
        </w:rPr>
        <w:t>学时；享受津贴范围：3</w:t>
      </w:r>
      <w:r w:rsidR="000C257B" w:rsidRPr="000C257B">
        <w:rPr>
          <w:rFonts w:ascii="仿宋_GB2312" w:eastAsia="仿宋_GB2312" w:hAnsi="宋体"/>
          <w:color w:val="FF0000"/>
          <w:kern w:val="0"/>
          <w:sz w:val="32"/>
          <w:szCs w:val="32"/>
          <w:highlight w:val="yellow"/>
        </w:rPr>
        <w:t>3</w:t>
      </w:r>
      <w:r w:rsidRPr="000C257B">
        <w:rPr>
          <w:rFonts w:ascii="仿宋_GB2312" w:eastAsia="仿宋_GB2312" w:hAnsi="宋体" w:hint="eastAsia"/>
          <w:color w:val="FF0000"/>
          <w:kern w:val="0"/>
          <w:sz w:val="32"/>
          <w:szCs w:val="32"/>
          <w:highlight w:val="yellow"/>
        </w:rPr>
        <w:t>学时以上</w:t>
      </w:r>
      <w:r w:rsidR="000C257B" w:rsidRPr="000C257B">
        <w:rPr>
          <w:rFonts w:ascii="仿宋_GB2312" w:eastAsia="仿宋_GB2312" w:hAnsi="宋体"/>
          <w:color w:val="FF0000"/>
          <w:kern w:val="0"/>
          <w:sz w:val="32"/>
          <w:szCs w:val="32"/>
          <w:highlight w:val="yellow"/>
        </w:rPr>
        <w:t>64</w:t>
      </w:r>
      <w:r w:rsidRPr="000C257B">
        <w:rPr>
          <w:rFonts w:ascii="仿宋_GB2312" w:eastAsia="仿宋_GB2312" w:hAnsi="宋体" w:hint="eastAsia"/>
          <w:color w:val="FF0000"/>
          <w:kern w:val="0"/>
          <w:sz w:val="32"/>
          <w:szCs w:val="32"/>
          <w:highlight w:val="yellow"/>
        </w:rPr>
        <w:t>学时以内。</w:t>
      </w:r>
    </w:p>
    <w:p w:rsidR="00D03073" w:rsidRPr="00FA3DA1"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FA3DA1">
        <w:rPr>
          <w:rFonts w:ascii="楷体" w:eastAsia="楷体" w:hAnsi="楷体" w:hint="eastAsia"/>
          <w:color w:val="000000"/>
          <w:kern w:val="0"/>
          <w:sz w:val="32"/>
          <w:szCs w:val="32"/>
        </w:rPr>
        <w:t>（三）教学超工作量津贴发放</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1.课时系数：为硕士生授课每课时为1学时，为博士生授课每课时为1.2学时。</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2.人数系数：研究生专业课教学30人或30人以下为标准教学班，每课时为1学时；31人以上60人以下教学班，每课时为1.1学时；61人以上90人以下每课时为1.2学时；91人以上每课时为1.3学时。</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3.课堂教学超工作量津贴标准为：70元/学时。</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课堂教学超工作量津贴计算公式为：课堂授课课时数×系数（应≤享受津贴范围内学时数）×津贴标准。</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4.教师承担研究生教学超出享受津贴工作量范围的部分，不享受教学超工作量津贴。</w:t>
      </w:r>
    </w:p>
    <w:p w:rsidR="00D03073" w:rsidRPr="00FA3DA1"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FA3DA1">
        <w:rPr>
          <w:rFonts w:ascii="楷体" w:eastAsia="楷体" w:hAnsi="楷体" w:hint="eastAsia"/>
          <w:color w:val="000000"/>
          <w:kern w:val="0"/>
          <w:sz w:val="32"/>
          <w:szCs w:val="32"/>
        </w:rPr>
        <w:t>（四）教师承担研究生课程教学工作已领取酬金的</w:t>
      </w:r>
      <w:r w:rsidR="00AE31BA" w:rsidRPr="00AE31BA">
        <w:rPr>
          <w:rFonts w:ascii="楷体" w:eastAsia="楷体" w:hAnsi="楷体" w:hint="eastAsia"/>
          <w:color w:val="FF0000"/>
          <w:kern w:val="0"/>
          <w:sz w:val="32"/>
          <w:szCs w:val="32"/>
          <w:highlight w:val="yellow"/>
        </w:rPr>
        <w:t>（领取高课酬的）</w:t>
      </w:r>
      <w:r w:rsidRPr="00FA3DA1">
        <w:rPr>
          <w:rFonts w:ascii="楷体" w:eastAsia="楷体" w:hAnsi="楷体" w:hint="eastAsia"/>
          <w:color w:val="000000"/>
          <w:kern w:val="0"/>
          <w:sz w:val="32"/>
          <w:szCs w:val="32"/>
        </w:rPr>
        <w:t>，不在本办法规定范围之内。</w:t>
      </w:r>
    </w:p>
    <w:p w:rsidR="00D03073" w:rsidRPr="00FA3DA1" w:rsidRDefault="00D03073" w:rsidP="00D03073">
      <w:pPr>
        <w:adjustRightInd w:val="0"/>
        <w:snapToGrid w:val="0"/>
        <w:spacing w:line="560" w:lineRule="exact"/>
        <w:ind w:firstLineChars="200" w:firstLine="640"/>
        <w:rPr>
          <w:rFonts w:ascii="黑体" w:eastAsia="黑体" w:hAnsi="黑体"/>
          <w:sz w:val="32"/>
          <w:szCs w:val="32"/>
        </w:rPr>
      </w:pPr>
      <w:r w:rsidRPr="00FA3DA1">
        <w:rPr>
          <w:rFonts w:ascii="黑体" w:eastAsia="黑体" w:hAnsi="黑体" w:hint="eastAsia"/>
          <w:sz w:val="32"/>
          <w:szCs w:val="32"/>
        </w:rPr>
        <w:t>四、指导研究生超工作量津贴</w:t>
      </w:r>
    </w:p>
    <w:p w:rsidR="00D03073" w:rsidRPr="00FA3DA1"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FA3DA1">
        <w:rPr>
          <w:rFonts w:ascii="楷体" w:eastAsia="楷体" w:hAnsi="楷体" w:hint="eastAsia"/>
          <w:color w:val="000000"/>
          <w:kern w:val="0"/>
          <w:sz w:val="32"/>
          <w:szCs w:val="32"/>
        </w:rPr>
        <w:lastRenderedPageBreak/>
        <w:t>（一）指导研究生超工作量津贴是指指导博士生和</w:t>
      </w:r>
      <w:r w:rsidRPr="00754E8D">
        <w:rPr>
          <w:rFonts w:ascii="楷体" w:eastAsia="楷体" w:hAnsi="楷体" w:hint="eastAsia"/>
          <w:color w:val="FF0000"/>
          <w:kern w:val="0"/>
          <w:sz w:val="32"/>
          <w:szCs w:val="32"/>
          <w:highlight w:val="yellow"/>
        </w:rPr>
        <w:t>学术学位硕士生</w:t>
      </w:r>
      <w:r w:rsidRPr="00FA3DA1">
        <w:rPr>
          <w:rFonts w:ascii="楷体" w:eastAsia="楷体" w:hAnsi="楷体" w:hint="eastAsia"/>
          <w:color w:val="000000"/>
          <w:kern w:val="0"/>
          <w:sz w:val="32"/>
          <w:szCs w:val="32"/>
        </w:rPr>
        <w:t>超出基本量部分的津贴。</w:t>
      </w:r>
    </w:p>
    <w:p w:rsidR="00D03073" w:rsidRPr="00FA3DA1"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FA3DA1">
        <w:rPr>
          <w:rFonts w:ascii="楷体" w:eastAsia="楷体" w:hAnsi="楷体" w:hint="eastAsia"/>
          <w:color w:val="000000"/>
          <w:kern w:val="0"/>
          <w:sz w:val="32"/>
          <w:szCs w:val="32"/>
        </w:rPr>
        <w:t>（二）指导研究生基本量及超工作量津贴范围</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1.仅指导博士生</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基本量：三年累计在校生6名。享受津贴范围：7名以上9名以内。</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2.指导博士生兼指导</w:t>
      </w:r>
      <w:r w:rsidR="00D772EC" w:rsidRPr="00754E8D">
        <w:rPr>
          <w:rFonts w:ascii="仿宋_GB2312" w:eastAsia="仿宋_GB2312" w:hAnsi="宋体" w:hint="eastAsia"/>
          <w:color w:val="FF0000"/>
          <w:kern w:val="0"/>
          <w:sz w:val="32"/>
          <w:szCs w:val="32"/>
          <w:highlight w:val="yellow"/>
        </w:rPr>
        <w:t>学术学位</w:t>
      </w:r>
      <w:r w:rsidRPr="00754E8D">
        <w:rPr>
          <w:rFonts w:ascii="仿宋_GB2312" w:eastAsia="仿宋_GB2312" w:hAnsi="宋体" w:hint="eastAsia"/>
          <w:color w:val="FF0000"/>
          <w:kern w:val="0"/>
          <w:sz w:val="32"/>
          <w:szCs w:val="32"/>
          <w:highlight w:val="yellow"/>
        </w:rPr>
        <w:t>硕士生</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基本量：三年累计在校生12名，其中指导1名博士生折合为2名硕士生。享受津贴范围：折合后13名以上18名以内。</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3.仅指导</w:t>
      </w:r>
      <w:r w:rsidR="00D772EC" w:rsidRPr="00754E8D">
        <w:rPr>
          <w:rFonts w:ascii="仿宋_GB2312" w:eastAsia="仿宋_GB2312" w:hAnsi="宋体" w:hint="eastAsia"/>
          <w:color w:val="FF0000"/>
          <w:kern w:val="0"/>
          <w:sz w:val="32"/>
          <w:szCs w:val="32"/>
          <w:highlight w:val="yellow"/>
        </w:rPr>
        <w:t>学术学位</w:t>
      </w:r>
      <w:r w:rsidRPr="00754E8D">
        <w:rPr>
          <w:rFonts w:ascii="仿宋_GB2312" w:eastAsia="仿宋_GB2312" w:hAnsi="宋体" w:hint="eastAsia"/>
          <w:color w:val="FF0000"/>
          <w:kern w:val="0"/>
          <w:sz w:val="32"/>
          <w:szCs w:val="32"/>
          <w:highlight w:val="yellow"/>
        </w:rPr>
        <w:t>硕士生</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基本量：三年累计在校生12名。享受津贴范围</w:t>
      </w:r>
      <w:r w:rsidR="00480EFA">
        <w:rPr>
          <w:rFonts w:ascii="仿宋_GB2312" w:eastAsia="仿宋_GB2312" w:hAnsi="宋体" w:hint="eastAsia"/>
          <w:color w:val="000000"/>
          <w:kern w:val="0"/>
          <w:sz w:val="32"/>
          <w:szCs w:val="32"/>
        </w:rPr>
        <w:t>：</w:t>
      </w:r>
      <w:r w:rsidRPr="007F5D2E">
        <w:rPr>
          <w:rFonts w:ascii="仿宋_GB2312" w:eastAsia="仿宋_GB2312" w:hAnsi="宋体" w:hint="eastAsia"/>
          <w:color w:val="000000"/>
          <w:kern w:val="0"/>
          <w:sz w:val="32"/>
          <w:szCs w:val="32"/>
        </w:rPr>
        <w:t>13名以上18名以内。</w:t>
      </w:r>
    </w:p>
    <w:p w:rsidR="00D03073" w:rsidRPr="00FA3DA1" w:rsidRDefault="00D03073" w:rsidP="00D03073">
      <w:pPr>
        <w:autoSpaceDE w:val="0"/>
        <w:autoSpaceDN w:val="0"/>
        <w:adjustRightInd w:val="0"/>
        <w:spacing w:line="520" w:lineRule="exact"/>
        <w:ind w:firstLineChars="200" w:firstLine="640"/>
        <w:jc w:val="left"/>
        <w:rPr>
          <w:rFonts w:ascii="楷体" w:eastAsia="楷体" w:hAnsi="楷体"/>
          <w:color w:val="000000"/>
          <w:kern w:val="0"/>
          <w:sz w:val="32"/>
          <w:szCs w:val="32"/>
        </w:rPr>
      </w:pPr>
      <w:r w:rsidRPr="00FA3DA1">
        <w:rPr>
          <w:rFonts w:ascii="楷体" w:eastAsia="楷体" w:hAnsi="楷体" w:hint="eastAsia"/>
          <w:color w:val="000000"/>
          <w:kern w:val="0"/>
          <w:sz w:val="32"/>
          <w:szCs w:val="32"/>
        </w:rPr>
        <w:t>（三）超工作量指导津贴发放</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1.津贴标准：超基本量指导博士生津贴标准为1000元/每生/每年；指导</w:t>
      </w:r>
      <w:r w:rsidR="00D772EC" w:rsidRPr="00754E8D">
        <w:rPr>
          <w:rFonts w:ascii="仿宋_GB2312" w:eastAsia="仿宋_GB2312" w:hAnsi="宋体" w:hint="eastAsia"/>
          <w:color w:val="FF0000"/>
          <w:kern w:val="0"/>
          <w:sz w:val="32"/>
          <w:szCs w:val="32"/>
          <w:highlight w:val="yellow"/>
        </w:rPr>
        <w:t>学术学位</w:t>
      </w:r>
      <w:r w:rsidRPr="00754E8D">
        <w:rPr>
          <w:rFonts w:ascii="仿宋_GB2312" w:eastAsia="仿宋_GB2312" w:hAnsi="宋体" w:hint="eastAsia"/>
          <w:color w:val="FF0000"/>
          <w:kern w:val="0"/>
          <w:sz w:val="32"/>
          <w:szCs w:val="32"/>
          <w:highlight w:val="yellow"/>
        </w:rPr>
        <w:t>硕士生</w:t>
      </w:r>
      <w:r w:rsidRPr="007F5D2E">
        <w:rPr>
          <w:rFonts w:ascii="仿宋_GB2312" w:eastAsia="仿宋_GB2312" w:hAnsi="宋体" w:hint="eastAsia"/>
          <w:color w:val="000000"/>
          <w:kern w:val="0"/>
          <w:sz w:val="32"/>
          <w:szCs w:val="32"/>
        </w:rPr>
        <w:t>津贴标准为500元/每生/每年。</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2.发放年限：指导研究生超工作量津贴均按每届学生在校3年发放。</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3.指导研究生人数（包括折合后数量）超出基本量范围上限的不享受超工作量指导津贴。</w:t>
      </w:r>
    </w:p>
    <w:p w:rsidR="00D03073" w:rsidRPr="00FA3DA1" w:rsidRDefault="00043F6B" w:rsidP="00D03073">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D03073" w:rsidRPr="00FA3DA1">
        <w:rPr>
          <w:rFonts w:ascii="黑体" w:eastAsia="黑体" w:hAnsi="黑体" w:hint="eastAsia"/>
          <w:sz w:val="32"/>
          <w:szCs w:val="32"/>
        </w:rPr>
        <w:t>、研究生课堂教学和学习指导超工作量津贴的审核及发放</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研究生课堂教学和学习指导超工作量津贴由导师所在学院（中心）统计、审核，以学院（中心）为单位汇总报研究生院复核，于年终考核后发放。</w:t>
      </w:r>
    </w:p>
    <w:p w:rsidR="00D03073" w:rsidRPr="00FA3DA1" w:rsidRDefault="00043F6B" w:rsidP="00D03073">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六</w:t>
      </w:r>
      <w:r w:rsidR="00D03073" w:rsidRPr="00FA3DA1">
        <w:rPr>
          <w:rFonts w:ascii="黑体" w:eastAsia="黑体" w:hAnsi="黑体" w:hint="eastAsia"/>
          <w:sz w:val="32"/>
          <w:szCs w:val="32"/>
        </w:rPr>
        <w:t>、考核要求</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教师应按学校相关规定按相应的受聘岗位进行年终考核，年终考核按照《中国政法大学教学工作考核办法》执行。</w:t>
      </w:r>
    </w:p>
    <w:p w:rsidR="00D03073" w:rsidRPr="007F5D2E" w:rsidRDefault="00D03073" w:rsidP="00D03073">
      <w:pPr>
        <w:autoSpaceDE w:val="0"/>
        <w:autoSpaceDN w:val="0"/>
        <w:adjustRightInd w:val="0"/>
        <w:spacing w:line="520" w:lineRule="exact"/>
        <w:ind w:firstLineChars="200" w:firstLine="640"/>
        <w:jc w:val="left"/>
        <w:rPr>
          <w:rFonts w:ascii="仿宋_GB2312" w:eastAsia="仿宋_GB2312" w:hAnsi="宋体"/>
          <w:color w:val="000000"/>
          <w:kern w:val="0"/>
          <w:sz w:val="32"/>
          <w:szCs w:val="32"/>
        </w:rPr>
      </w:pPr>
      <w:r w:rsidRPr="007F5D2E">
        <w:rPr>
          <w:rFonts w:ascii="仿宋_GB2312" w:eastAsia="仿宋_GB2312" w:hAnsi="宋体" w:hint="eastAsia"/>
          <w:color w:val="000000"/>
          <w:kern w:val="0"/>
          <w:sz w:val="32"/>
          <w:szCs w:val="32"/>
        </w:rPr>
        <w:t>教师年终考核不合格者不享受研究生课堂教学和学习指导超工作量津贴。</w:t>
      </w:r>
    </w:p>
    <w:p w:rsidR="00D03073" w:rsidRPr="00FA3DA1" w:rsidRDefault="00043F6B" w:rsidP="00D03073">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D03073" w:rsidRPr="00FA3DA1">
        <w:rPr>
          <w:rFonts w:ascii="黑体" w:eastAsia="黑体" w:hAnsi="黑体" w:hint="eastAsia"/>
          <w:sz w:val="32"/>
          <w:szCs w:val="32"/>
        </w:rPr>
        <w:t>、本办</w:t>
      </w:r>
      <w:bookmarkStart w:id="0" w:name="_GoBack"/>
      <w:bookmarkEnd w:id="0"/>
      <w:r w:rsidR="00D03073" w:rsidRPr="00FA3DA1">
        <w:rPr>
          <w:rFonts w:ascii="黑体" w:eastAsia="黑体" w:hAnsi="黑体" w:hint="eastAsia"/>
          <w:sz w:val="32"/>
          <w:szCs w:val="32"/>
        </w:rPr>
        <w:t>法所列的数量范围均包含本数。</w:t>
      </w:r>
    </w:p>
    <w:p w:rsidR="00D03073" w:rsidRPr="00FA3DA1" w:rsidRDefault="00043F6B" w:rsidP="00D03073">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w:t>
      </w:r>
      <w:r w:rsidR="00D03073" w:rsidRPr="00FA3DA1">
        <w:rPr>
          <w:rFonts w:ascii="黑体" w:eastAsia="黑体" w:hAnsi="黑体" w:hint="eastAsia"/>
          <w:sz w:val="32"/>
          <w:szCs w:val="32"/>
        </w:rPr>
        <w:t>、本办法由研究生院负责解释。</w:t>
      </w:r>
    </w:p>
    <w:p w:rsidR="00B4103B" w:rsidRPr="00D03073" w:rsidRDefault="00043F6B" w:rsidP="00D03073">
      <w:pPr>
        <w:adjustRightInd w:val="0"/>
        <w:snapToGrid w:val="0"/>
        <w:spacing w:line="560" w:lineRule="exact"/>
        <w:ind w:firstLineChars="200" w:firstLine="640"/>
        <w:rPr>
          <w:rFonts w:ascii="仿宋_GB2312" w:eastAsia="仿宋_GB2312" w:hAnsi="宋体"/>
          <w:sz w:val="30"/>
          <w:szCs w:val="30"/>
        </w:rPr>
      </w:pPr>
      <w:r>
        <w:rPr>
          <w:rFonts w:ascii="黑体" w:eastAsia="黑体" w:hAnsi="黑体" w:hint="eastAsia"/>
          <w:sz w:val="32"/>
          <w:szCs w:val="32"/>
        </w:rPr>
        <w:t>九</w:t>
      </w:r>
      <w:r w:rsidR="00D03073" w:rsidRPr="00FA3DA1">
        <w:rPr>
          <w:rFonts w:ascii="黑体" w:eastAsia="黑体" w:hAnsi="黑体" w:hint="eastAsia"/>
          <w:sz w:val="32"/>
          <w:szCs w:val="32"/>
        </w:rPr>
        <w:t>、本办法自校长办公会通过之日起实施。</w:t>
      </w:r>
    </w:p>
    <w:sectPr w:rsidR="00B4103B" w:rsidRPr="00D03073">
      <w:footerReference w:type="even" r:id="rId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5AB" w:rsidRDefault="00FE05AB">
      <w:r>
        <w:separator/>
      </w:r>
    </w:p>
  </w:endnote>
  <w:endnote w:type="continuationSeparator" w:id="0">
    <w:p w:rsidR="00FE05AB" w:rsidRDefault="00FE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3B" w:rsidRDefault="00B41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103B" w:rsidRDefault="00B4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3B" w:rsidRDefault="00B41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1DE">
      <w:rPr>
        <w:rStyle w:val="PageNumber"/>
        <w:noProof/>
      </w:rPr>
      <w:t>4</w:t>
    </w:r>
    <w:r>
      <w:rPr>
        <w:rStyle w:val="PageNumber"/>
      </w:rPr>
      <w:fldChar w:fldCharType="end"/>
    </w:r>
  </w:p>
  <w:p w:rsidR="00B4103B" w:rsidRDefault="00B4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5AB" w:rsidRDefault="00FE05AB">
      <w:r>
        <w:separator/>
      </w:r>
    </w:p>
  </w:footnote>
  <w:footnote w:type="continuationSeparator" w:id="0">
    <w:p w:rsidR="00FE05AB" w:rsidRDefault="00FE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44"/>
    <w:rsid w:val="00043F6B"/>
    <w:rsid w:val="0006084A"/>
    <w:rsid w:val="000C257B"/>
    <w:rsid w:val="00102863"/>
    <w:rsid w:val="00174528"/>
    <w:rsid w:val="001A3B57"/>
    <w:rsid w:val="00242116"/>
    <w:rsid w:val="00286A40"/>
    <w:rsid w:val="002C7281"/>
    <w:rsid w:val="002F3061"/>
    <w:rsid w:val="003D1165"/>
    <w:rsid w:val="003D1289"/>
    <w:rsid w:val="003D3F85"/>
    <w:rsid w:val="00480EFA"/>
    <w:rsid w:val="004D31BE"/>
    <w:rsid w:val="00543C4B"/>
    <w:rsid w:val="00546E8C"/>
    <w:rsid w:val="005475BA"/>
    <w:rsid w:val="00594CB9"/>
    <w:rsid w:val="00683457"/>
    <w:rsid w:val="00697669"/>
    <w:rsid w:val="006D3BB0"/>
    <w:rsid w:val="006F78E5"/>
    <w:rsid w:val="00754E8D"/>
    <w:rsid w:val="0079347D"/>
    <w:rsid w:val="007A1D88"/>
    <w:rsid w:val="007B6E00"/>
    <w:rsid w:val="007F44C2"/>
    <w:rsid w:val="008021AA"/>
    <w:rsid w:val="00804583"/>
    <w:rsid w:val="00804FFF"/>
    <w:rsid w:val="0084656C"/>
    <w:rsid w:val="00893B44"/>
    <w:rsid w:val="008E5F94"/>
    <w:rsid w:val="00905502"/>
    <w:rsid w:val="009651D4"/>
    <w:rsid w:val="009A48F2"/>
    <w:rsid w:val="009C78EC"/>
    <w:rsid w:val="009E0AD8"/>
    <w:rsid w:val="00A0400F"/>
    <w:rsid w:val="00A241DE"/>
    <w:rsid w:val="00A27DA3"/>
    <w:rsid w:val="00A44B7D"/>
    <w:rsid w:val="00A529AB"/>
    <w:rsid w:val="00AE31BA"/>
    <w:rsid w:val="00B4103B"/>
    <w:rsid w:val="00BF75C2"/>
    <w:rsid w:val="00C25BBD"/>
    <w:rsid w:val="00C52299"/>
    <w:rsid w:val="00CE3653"/>
    <w:rsid w:val="00CE5B38"/>
    <w:rsid w:val="00D03073"/>
    <w:rsid w:val="00D526B7"/>
    <w:rsid w:val="00D772EC"/>
    <w:rsid w:val="00E1046B"/>
    <w:rsid w:val="00F3443A"/>
    <w:rsid w:val="00F870BC"/>
    <w:rsid w:val="00FE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837BB"/>
  <w15:chartTrackingRefBased/>
  <w15:docId w15:val="{8F756C44-E540-45B1-93A6-7BA30122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360" w:lineRule="auto"/>
      <w:jc w:val="left"/>
    </w:pPr>
    <w:rPr>
      <w:rFonts w:ascii="宋体" w:hAnsi="宋体"/>
      <w:color w:val="000000"/>
      <w:kern w:val="0"/>
      <w:sz w:val="28"/>
    </w:rPr>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Header">
    <w:name w:val="header"/>
    <w:basedOn w:val="Normal"/>
    <w:link w:val="HeaderChar"/>
    <w:rsid w:val="009651D4"/>
    <w:pPr>
      <w:pBdr>
        <w:bottom w:val="single" w:sz="6" w:space="1" w:color="auto"/>
      </w:pBdr>
      <w:tabs>
        <w:tab w:val="center" w:pos="4153"/>
        <w:tab w:val="right" w:pos="8306"/>
      </w:tabs>
      <w:snapToGrid w:val="0"/>
      <w:jc w:val="center"/>
    </w:pPr>
    <w:rPr>
      <w:sz w:val="18"/>
      <w:szCs w:val="18"/>
      <w:lang w:val="x-none" w:eastAsia="x-none"/>
    </w:rPr>
  </w:style>
  <w:style w:type="character" w:customStyle="1" w:styleId="HeaderChar">
    <w:name w:val="Header Char"/>
    <w:link w:val="Header"/>
    <w:rsid w:val="009651D4"/>
    <w:rPr>
      <w:kern w:val="2"/>
      <w:sz w:val="18"/>
      <w:szCs w:val="18"/>
    </w:rPr>
  </w:style>
  <w:style w:type="paragraph" w:styleId="BalloonText">
    <w:name w:val="Balloon Text"/>
    <w:basedOn w:val="Normal"/>
    <w:link w:val="BalloonTextChar"/>
    <w:rsid w:val="002F3061"/>
    <w:rPr>
      <w:sz w:val="18"/>
      <w:szCs w:val="18"/>
      <w:lang w:val="x-none" w:eastAsia="x-none"/>
    </w:rPr>
  </w:style>
  <w:style w:type="character" w:customStyle="1" w:styleId="BalloonTextChar">
    <w:name w:val="Balloon Text Char"/>
    <w:link w:val="BalloonText"/>
    <w:rsid w:val="002F30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附件：</vt:lpstr>
    </vt:vector>
  </TitlesOfParts>
  <Company>Microsoft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学校办公室办</dc:creator>
  <cp:keywords/>
  <dc:description/>
  <cp:lastModifiedBy>lulu</cp:lastModifiedBy>
  <cp:revision>16</cp:revision>
  <cp:lastPrinted>2011-02-18T06:08:00Z</cp:lastPrinted>
  <dcterms:created xsi:type="dcterms:W3CDTF">2015-11-26T05:34:00Z</dcterms:created>
  <dcterms:modified xsi:type="dcterms:W3CDTF">2018-11-28T03:33:00Z</dcterms:modified>
</cp:coreProperties>
</file>