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124" w:type="dxa"/>
        <w:tblLayout w:type="fixed"/>
        <w:tblLook w:val="04A0" w:firstRow="1" w:lastRow="0" w:firstColumn="1" w:lastColumn="0" w:noHBand="0" w:noVBand="1"/>
      </w:tblPr>
      <w:tblGrid>
        <w:gridCol w:w="1871"/>
        <w:gridCol w:w="1498"/>
        <w:gridCol w:w="1559"/>
        <w:gridCol w:w="1984"/>
        <w:gridCol w:w="2212"/>
      </w:tblGrid>
      <w:tr w:rsidR="002C5B56" w:rsidTr="00EF298D">
        <w:trPr>
          <w:trHeight w:val="1266"/>
        </w:trPr>
        <w:tc>
          <w:tcPr>
            <w:tcW w:w="9124" w:type="dxa"/>
            <w:gridSpan w:val="5"/>
          </w:tcPr>
          <w:p w:rsidR="002C5B56" w:rsidRPr="00F63D48" w:rsidRDefault="002C5B56" w:rsidP="0071466A">
            <w:pPr>
              <w:ind w:firstLineChars="595" w:firstLine="1904"/>
              <w:rPr>
                <w:rFonts w:ascii="黑体" w:eastAsia="黑体" w:hAnsi="黑体" w:cs="Times New Roman"/>
                <w:bCs/>
                <w:sz w:val="32"/>
                <w:szCs w:val="32"/>
              </w:rPr>
            </w:pPr>
            <w:r>
              <w:rPr>
                <w:rFonts w:ascii="黑体" w:eastAsia="黑体" w:hAnsi="黑体" w:cs="Times New Roman" w:hint="eastAsia"/>
                <w:bCs/>
                <w:sz w:val="32"/>
                <w:szCs w:val="32"/>
              </w:rPr>
              <w:t>工商管理</w:t>
            </w:r>
            <w:r w:rsidRPr="00F63D48">
              <w:rPr>
                <w:rFonts w:ascii="黑体" w:eastAsia="黑体" w:hAnsi="黑体" w:cs="Times New Roman" w:hint="eastAsia"/>
                <w:bCs/>
                <w:sz w:val="32"/>
                <w:szCs w:val="32"/>
              </w:rPr>
              <w:t>硕士专业学位研究生培养方案</w:t>
            </w:r>
          </w:p>
          <w:p w:rsidR="002C5B56" w:rsidRDefault="00B657F4" w:rsidP="0071466A">
            <w:pPr>
              <w:ind w:firstLineChars="246" w:firstLine="787"/>
            </w:pPr>
            <w:r>
              <w:rPr>
                <w:rFonts w:ascii="黑体" w:eastAsia="黑体" w:hAnsi="黑体" w:cs="Times New Roman" w:hint="eastAsia"/>
                <w:bCs/>
                <w:sz w:val="32"/>
                <w:szCs w:val="32"/>
              </w:rPr>
              <w:t xml:space="preserve">             </w:t>
            </w:r>
            <w:r w:rsidR="002C5B56" w:rsidRPr="00F63D48">
              <w:rPr>
                <w:rFonts w:ascii="黑体" w:eastAsia="黑体" w:hAnsi="黑体" w:cs="Times New Roman" w:hint="eastAsia"/>
                <w:bCs/>
                <w:sz w:val="32"/>
                <w:szCs w:val="32"/>
              </w:rPr>
              <w:t>（专业代码：</w:t>
            </w:r>
            <w:r w:rsidR="00EF298D" w:rsidRPr="00EF298D">
              <w:rPr>
                <w:rFonts w:ascii="黑体" w:eastAsia="黑体" w:hAnsi="黑体" w:cs="Times New Roman"/>
                <w:bCs/>
                <w:sz w:val="32"/>
                <w:szCs w:val="32"/>
              </w:rPr>
              <w:t>125100</w:t>
            </w:r>
            <w:r w:rsidR="002C5B56" w:rsidRPr="00F63D48">
              <w:rPr>
                <w:rFonts w:ascii="黑体" w:eastAsia="黑体" w:hAnsi="黑体" w:cs="Times New Roman" w:hint="eastAsia"/>
                <w:bCs/>
                <w:sz w:val="32"/>
                <w:szCs w:val="32"/>
              </w:rPr>
              <w:t>）</w:t>
            </w:r>
          </w:p>
        </w:tc>
      </w:tr>
      <w:tr w:rsidR="002C5B56" w:rsidRPr="006C7B9F" w:rsidTr="0071466A">
        <w:trPr>
          <w:trHeight w:val="340"/>
        </w:trPr>
        <w:tc>
          <w:tcPr>
            <w:tcW w:w="1871" w:type="dxa"/>
          </w:tcPr>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5844D2" w:rsidRDefault="005844D2"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一、学科、专业简介</w:t>
            </w:r>
          </w:p>
        </w:tc>
        <w:tc>
          <w:tcPr>
            <w:tcW w:w="7253" w:type="dxa"/>
            <w:gridSpan w:val="4"/>
          </w:tcPr>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1、本学科的历史沿革和现状概述</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 xml:space="preserve">中国政法大学商学院作为中国“法商管理”教育培养模式的开创者和推动者，经历了提出理念、探索实践、深入发展的历程： </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法商结合商科教育雏形形成（1995-2002年）：1994年，中国政法大学设计培养“法商结合”的复</w:t>
            </w:r>
            <w:bookmarkStart w:id="0" w:name="_GoBack"/>
            <w:bookmarkEnd w:id="0"/>
            <w:r w:rsidRPr="006C7B9F">
              <w:rPr>
                <w:rFonts w:ascii="仿宋" w:eastAsia="仿宋" w:hAnsi="仿宋" w:hint="eastAsia"/>
                <w:sz w:val="24"/>
                <w:szCs w:val="24"/>
              </w:rPr>
              <w:t xml:space="preserve">合型管理人才计划，历经7年的摸索与发展，以中国政法大学商学院正式挂牌成立为标志，形成“法商互动，知行合一”的培养理念。 </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 xml:space="preserve">法商管理模式基础奠定（ 2002-2009年）：商学院为法商管理教育奠定初步学术基础，完成了从本科、硕士、博士点学科布局，并以教育部2007年在商学院设立国家级 “质量工程”建设项目——“法商型人才培养模式创新实验区”为标志，表明法商管理教育已经具备了比较系统的培养思路和学术基础。 </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法商管理创新与实践落地（2009 –今）：2009 年 6 月，我校商学院获批为第八批MBA培养院校，同年中国政法大学MBA教育中心成立。2010年首届MBA学生入学，开启了法商管理MBA教育模式从理论到实践的全面探索创新，明确提出培养具有法商精神的新时代管理者的培养目标。</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2、本学科的需求分析和发展前景</w:t>
            </w:r>
          </w:p>
          <w:p w:rsidR="006C7B9F" w:rsidRPr="006C7B9F" w:rsidRDefault="006C7B9F" w:rsidP="006C7B9F">
            <w:pPr>
              <w:ind w:firstLineChars="200" w:firstLine="480"/>
              <w:rPr>
                <w:rFonts w:ascii="仿宋" w:eastAsia="仿宋" w:hAnsi="仿宋"/>
                <w:sz w:val="24"/>
                <w:szCs w:val="24"/>
              </w:rPr>
            </w:pPr>
            <w:r w:rsidRPr="006C7B9F">
              <w:rPr>
                <w:rFonts w:ascii="仿宋" w:eastAsia="仿宋" w:hAnsi="仿宋" w:hint="eastAsia"/>
                <w:sz w:val="24"/>
                <w:szCs w:val="24"/>
              </w:rPr>
              <w:t>市场经济首先是法治经济，成功的经营者必须具备法商精神和管理技能。法商管理源于企业需求和时代要求，解决企业实际难题，与企业的生死、与企业的发展息息相关，法商管理教育的发展，顺应了时代发展的要求、引领了中国企业未来发展的趋势。</w:t>
            </w:r>
          </w:p>
          <w:p w:rsidR="002C5B56" w:rsidRPr="006C7B9F" w:rsidRDefault="006C7B9F" w:rsidP="006C7B9F">
            <w:pPr>
              <w:rPr>
                <w:rFonts w:ascii="仿宋" w:eastAsia="仿宋" w:hAnsi="仿宋"/>
                <w:sz w:val="24"/>
                <w:szCs w:val="24"/>
              </w:rPr>
            </w:pPr>
            <w:r w:rsidRPr="006C7B9F">
              <w:rPr>
                <w:rFonts w:ascii="仿宋" w:eastAsia="仿宋" w:hAnsi="仿宋" w:hint="eastAsia"/>
                <w:sz w:val="24"/>
                <w:szCs w:val="24"/>
              </w:rPr>
              <w:t xml:space="preserve">   中国政法大学MBA教育中心正是在此背景下成立的，致力于打造中国高等商科教育中独具特色、优势明显的MBA培养模式，具有广阔的发展前景。</w:t>
            </w:r>
          </w:p>
        </w:tc>
      </w:tr>
      <w:tr w:rsidR="002C5B56" w:rsidRPr="00744335" w:rsidTr="006C7B9F">
        <w:trPr>
          <w:trHeight w:val="1691"/>
        </w:trPr>
        <w:tc>
          <w:tcPr>
            <w:tcW w:w="1871" w:type="dxa"/>
          </w:tcPr>
          <w:p w:rsidR="002C5B56" w:rsidRPr="00744335" w:rsidRDefault="002C5B56" w:rsidP="00B405EB">
            <w:pPr>
              <w:jc w:val="center"/>
              <w:rPr>
                <w:sz w:val="24"/>
                <w:szCs w:val="24"/>
              </w:rPr>
            </w:pPr>
          </w:p>
          <w:p w:rsidR="002C5B56" w:rsidRPr="00744335" w:rsidRDefault="002C5B56" w:rsidP="00B405EB">
            <w:pPr>
              <w:jc w:val="center"/>
              <w:rPr>
                <w:sz w:val="24"/>
                <w:szCs w:val="24"/>
              </w:rPr>
            </w:pPr>
          </w:p>
          <w:p w:rsidR="002C5B56" w:rsidRDefault="002C5B56" w:rsidP="00B405EB">
            <w:pPr>
              <w:jc w:val="center"/>
              <w:rPr>
                <w:rFonts w:ascii="黑体" w:eastAsia="黑体" w:hAnsi="黑体"/>
                <w:sz w:val="24"/>
                <w:szCs w:val="24"/>
              </w:rPr>
            </w:pPr>
          </w:p>
          <w:p w:rsidR="002C5B56" w:rsidRDefault="002C5B56" w:rsidP="00B405EB">
            <w:pPr>
              <w:jc w:val="center"/>
              <w:rPr>
                <w:rFonts w:ascii="黑体" w:eastAsia="黑体" w:hAnsi="黑体"/>
                <w:sz w:val="24"/>
                <w:szCs w:val="24"/>
              </w:rPr>
            </w:pPr>
          </w:p>
          <w:p w:rsidR="002C5B56" w:rsidRDefault="002C5B56" w:rsidP="00B405EB">
            <w:pPr>
              <w:jc w:val="center"/>
              <w:rPr>
                <w:rFonts w:ascii="黑体" w:eastAsia="黑体" w:hAnsi="黑体"/>
                <w:sz w:val="24"/>
                <w:szCs w:val="24"/>
              </w:rPr>
            </w:pPr>
          </w:p>
          <w:p w:rsidR="002C5B56" w:rsidRDefault="002C5B56" w:rsidP="00B405EB">
            <w:pPr>
              <w:jc w:val="center"/>
              <w:rPr>
                <w:rFonts w:ascii="黑体" w:eastAsia="黑体" w:hAnsi="黑体"/>
                <w:sz w:val="24"/>
                <w:szCs w:val="24"/>
              </w:rPr>
            </w:pPr>
          </w:p>
          <w:p w:rsidR="002C5B56" w:rsidRPr="00744335" w:rsidRDefault="002C5B56" w:rsidP="00B405EB">
            <w:pPr>
              <w:jc w:val="center"/>
              <w:rPr>
                <w:rFonts w:ascii="黑体" w:eastAsia="黑体" w:hAnsi="黑体"/>
                <w:sz w:val="24"/>
                <w:szCs w:val="24"/>
              </w:rPr>
            </w:pPr>
            <w:r w:rsidRPr="00744335">
              <w:rPr>
                <w:rFonts w:ascii="黑体" w:eastAsia="黑体" w:hAnsi="黑体" w:hint="eastAsia"/>
                <w:sz w:val="24"/>
                <w:szCs w:val="24"/>
              </w:rPr>
              <w:t>二、培养目标</w:t>
            </w:r>
          </w:p>
        </w:tc>
        <w:tc>
          <w:tcPr>
            <w:tcW w:w="7253" w:type="dxa"/>
            <w:gridSpan w:val="4"/>
          </w:tcPr>
          <w:p w:rsidR="00864A0F" w:rsidRPr="00A712A7" w:rsidRDefault="00864A0F" w:rsidP="00864A0F">
            <w:pPr>
              <w:pStyle w:val="a9"/>
              <w:ind w:firstLineChars="200" w:firstLine="480"/>
              <w:rPr>
                <w:rFonts w:ascii="仿宋" w:eastAsia="仿宋" w:hAnsi="仿宋"/>
                <w:szCs w:val="24"/>
              </w:rPr>
            </w:pPr>
            <w:r w:rsidRPr="00A712A7">
              <w:rPr>
                <w:rFonts w:ascii="仿宋" w:eastAsia="仿宋" w:hAnsi="仿宋" w:hint="eastAsia"/>
                <w:szCs w:val="24"/>
              </w:rPr>
              <w:t>坚持理论基础和管理实务相结合、管理专业和法律应用相结合、国际视野和本土</w:t>
            </w:r>
            <w:r w:rsidRPr="00A712A7">
              <w:rPr>
                <w:rFonts w:ascii="仿宋" w:eastAsia="仿宋" w:hAnsi="仿宋"/>
                <w:szCs w:val="24"/>
              </w:rPr>
              <w:t>经验</w:t>
            </w:r>
            <w:r w:rsidRPr="00A712A7">
              <w:rPr>
                <w:rFonts w:ascii="仿宋" w:eastAsia="仿宋" w:hAnsi="仿宋" w:hint="eastAsia"/>
                <w:szCs w:val="24"/>
              </w:rPr>
              <w:t>相结合、务实精神和创新精神相结合，培养具有“精商明法、敏思善行”特质的新时代</w:t>
            </w:r>
            <w:r w:rsidRPr="00A712A7">
              <w:rPr>
                <w:rFonts w:ascii="仿宋" w:eastAsia="仿宋" w:hAnsi="仿宋"/>
                <w:szCs w:val="24"/>
              </w:rPr>
              <w:t>管理者</w:t>
            </w:r>
            <w:r w:rsidRPr="00A712A7">
              <w:rPr>
                <w:rFonts w:ascii="仿宋" w:eastAsia="仿宋" w:hAnsi="仿宋" w:hint="eastAsia"/>
                <w:szCs w:val="24"/>
              </w:rPr>
              <w:t>，以满足社会主义市场经济、民主政治、法治国家建设对法商复合型管理人才的需要。具体要求：</w:t>
            </w:r>
          </w:p>
          <w:p w:rsidR="00864A0F" w:rsidRPr="00A712A7" w:rsidRDefault="00864A0F" w:rsidP="006C7B9F">
            <w:pPr>
              <w:pStyle w:val="a9"/>
              <w:ind w:firstLineChars="175"/>
              <w:rPr>
                <w:rFonts w:ascii="仿宋" w:eastAsia="仿宋" w:hAnsi="仿宋"/>
                <w:szCs w:val="24"/>
              </w:rPr>
            </w:pPr>
            <w:r w:rsidRPr="00A712A7">
              <w:rPr>
                <w:rFonts w:ascii="仿宋" w:eastAsia="仿宋" w:hAnsi="仿宋" w:hint="eastAsia"/>
                <w:szCs w:val="24"/>
              </w:rPr>
              <w:t>1、坚持正确的政治方向，树立爱国主义和集体主义思想，拥护党的各项方针政策，具有良好的职业精神，遵守法律法规和道德规范，具备德、智、体全面发展的综合素质。</w:t>
            </w:r>
          </w:p>
          <w:p w:rsidR="00864A0F" w:rsidRPr="00A712A7" w:rsidRDefault="00864A0F" w:rsidP="00864A0F">
            <w:pPr>
              <w:pStyle w:val="a9"/>
              <w:rPr>
                <w:rFonts w:ascii="仿宋" w:eastAsia="仿宋" w:hAnsi="仿宋"/>
                <w:szCs w:val="24"/>
              </w:rPr>
            </w:pPr>
            <w:r w:rsidRPr="00A712A7">
              <w:rPr>
                <w:rFonts w:ascii="仿宋" w:eastAsia="仿宋" w:hAnsi="仿宋" w:hint="eastAsia"/>
                <w:szCs w:val="24"/>
              </w:rPr>
              <w:t>2、系统掌握工商管理专业知识，善于发现问题、分析问题和解决问题，具有从事经营管理实际工作的能力，熟练运用科学的方法工具解决经营管理实务问题。</w:t>
            </w:r>
          </w:p>
          <w:p w:rsidR="00864A0F" w:rsidRPr="00A712A7" w:rsidRDefault="00864A0F" w:rsidP="00864A0F">
            <w:pPr>
              <w:pStyle w:val="a9"/>
              <w:rPr>
                <w:rFonts w:ascii="仿宋" w:eastAsia="仿宋" w:hAnsi="仿宋"/>
                <w:szCs w:val="24"/>
              </w:rPr>
            </w:pPr>
            <w:r w:rsidRPr="00A712A7">
              <w:rPr>
                <w:rFonts w:ascii="仿宋" w:eastAsia="仿宋" w:hAnsi="仿宋" w:hint="eastAsia"/>
                <w:szCs w:val="24"/>
              </w:rPr>
              <w:t>3、熟悉经营管理工作中的法律事务，将法学有关原理和方法有效融合到经营管理实务中，成为具备管理和法律双重能力的复合型应用人才。</w:t>
            </w:r>
          </w:p>
          <w:p w:rsidR="00864A0F" w:rsidRPr="00A712A7" w:rsidRDefault="00864A0F" w:rsidP="00864A0F">
            <w:pPr>
              <w:pStyle w:val="a9"/>
              <w:rPr>
                <w:rFonts w:ascii="仿宋" w:eastAsia="仿宋" w:hAnsi="仿宋"/>
                <w:szCs w:val="24"/>
              </w:rPr>
            </w:pPr>
            <w:r w:rsidRPr="00A712A7">
              <w:rPr>
                <w:rFonts w:ascii="仿宋" w:eastAsia="仿宋" w:hAnsi="仿宋" w:hint="eastAsia"/>
                <w:szCs w:val="24"/>
              </w:rPr>
              <w:t>4.、掌握一门外国语，具备处理经营管理对外事务（包括国际企</w:t>
            </w:r>
            <w:r w:rsidRPr="00A712A7">
              <w:rPr>
                <w:rFonts w:ascii="仿宋" w:eastAsia="仿宋" w:hAnsi="仿宋" w:hint="eastAsia"/>
                <w:szCs w:val="24"/>
              </w:rPr>
              <w:lastRenderedPageBreak/>
              <w:t>业管理、国际贸易等方面）的基本能力；</w:t>
            </w:r>
          </w:p>
          <w:p w:rsidR="002C5B56" w:rsidRPr="00864A0F" w:rsidRDefault="00864A0F" w:rsidP="00864A0F">
            <w:pPr>
              <w:pStyle w:val="a9"/>
              <w:jc w:val="left"/>
              <w:rPr>
                <w:rFonts w:ascii="仿宋" w:eastAsia="仿宋" w:hAnsi="仿宋"/>
                <w:szCs w:val="24"/>
              </w:rPr>
            </w:pPr>
            <w:r w:rsidRPr="00A712A7">
              <w:rPr>
                <w:rFonts w:ascii="仿宋" w:eastAsia="仿宋" w:hAnsi="仿宋" w:hint="eastAsia"/>
                <w:szCs w:val="24"/>
              </w:rPr>
              <w:t>5、具有健康的体魄和良好的心理素质，在责任心、团队意识、指挥协调、组织应变等软技能方面适应企事业单位的实际需要。</w:t>
            </w:r>
          </w:p>
        </w:tc>
      </w:tr>
      <w:tr w:rsidR="002C5B56" w:rsidRPr="00744335" w:rsidTr="00864A0F">
        <w:trPr>
          <w:trHeight w:val="2479"/>
        </w:trPr>
        <w:tc>
          <w:tcPr>
            <w:tcW w:w="1871" w:type="dxa"/>
          </w:tcPr>
          <w:p w:rsidR="002C5B56" w:rsidRPr="00744335" w:rsidRDefault="002C5B56"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p>
          <w:p w:rsidR="00864A0F" w:rsidRDefault="00864A0F" w:rsidP="00864A0F">
            <w:pPr>
              <w:jc w:val="center"/>
              <w:rPr>
                <w:rFonts w:ascii="黑体" w:eastAsia="黑体" w:hAnsi="黑体"/>
                <w:sz w:val="24"/>
                <w:szCs w:val="24"/>
              </w:rPr>
            </w:pPr>
          </w:p>
          <w:p w:rsidR="00864A0F" w:rsidRDefault="00864A0F"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三、专业方向</w:t>
            </w:r>
          </w:p>
        </w:tc>
        <w:tc>
          <w:tcPr>
            <w:tcW w:w="7253" w:type="dxa"/>
            <w:gridSpan w:val="4"/>
          </w:tcPr>
          <w:p w:rsidR="00900C2D" w:rsidRPr="00900C2D" w:rsidRDefault="00900C2D" w:rsidP="00900C2D">
            <w:pPr>
              <w:spacing w:line="360" w:lineRule="auto"/>
              <w:ind w:firstLine="482"/>
              <w:rPr>
                <w:rFonts w:ascii="仿宋" w:eastAsia="仿宋" w:hAnsi="仿宋" w:cs="Times New Roman"/>
                <w:sz w:val="24"/>
                <w:szCs w:val="24"/>
              </w:rPr>
            </w:pPr>
            <w:r w:rsidRPr="00900C2D">
              <w:rPr>
                <w:rFonts w:ascii="仿宋" w:eastAsia="仿宋" w:hAnsi="仿宋" w:cs="Times New Roman" w:hint="eastAsia"/>
                <w:sz w:val="24"/>
                <w:szCs w:val="24"/>
              </w:rPr>
              <w:t xml:space="preserve">1、企业变革与组织创新 </w:t>
            </w:r>
          </w:p>
          <w:p w:rsidR="00900C2D" w:rsidRPr="00900C2D" w:rsidRDefault="00900C2D" w:rsidP="00900C2D">
            <w:pPr>
              <w:spacing w:line="360" w:lineRule="auto"/>
              <w:ind w:firstLine="482"/>
              <w:rPr>
                <w:rFonts w:ascii="仿宋" w:eastAsia="仿宋" w:hAnsi="仿宋" w:cs="Times New Roman"/>
                <w:sz w:val="24"/>
                <w:szCs w:val="24"/>
              </w:rPr>
            </w:pPr>
            <w:r w:rsidRPr="00900C2D">
              <w:rPr>
                <w:rFonts w:ascii="仿宋" w:eastAsia="仿宋" w:hAnsi="仿宋" w:cs="Times New Roman" w:hint="eastAsia"/>
                <w:sz w:val="24"/>
                <w:szCs w:val="24"/>
              </w:rPr>
              <w:t>2、市场营销与现代流通</w:t>
            </w:r>
          </w:p>
          <w:p w:rsidR="00900C2D" w:rsidRPr="00900C2D" w:rsidRDefault="00900C2D" w:rsidP="00900C2D">
            <w:pPr>
              <w:spacing w:line="360" w:lineRule="auto"/>
              <w:ind w:firstLine="482"/>
              <w:rPr>
                <w:rFonts w:ascii="仿宋" w:eastAsia="仿宋" w:hAnsi="仿宋" w:cs="Times New Roman"/>
                <w:sz w:val="24"/>
                <w:szCs w:val="24"/>
              </w:rPr>
            </w:pPr>
            <w:r w:rsidRPr="00900C2D">
              <w:rPr>
                <w:rFonts w:ascii="仿宋" w:eastAsia="仿宋" w:hAnsi="仿宋" w:cs="Times New Roman" w:hint="eastAsia"/>
                <w:sz w:val="24"/>
                <w:szCs w:val="24"/>
              </w:rPr>
              <w:t>3、金融与财务管理</w:t>
            </w:r>
          </w:p>
          <w:p w:rsidR="00900C2D" w:rsidRPr="00900C2D" w:rsidRDefault="00900C2D" w:rsidP="00900C2D">
            <w:pPr>
              <w:spacing w:line="360" w:lineRule="auto"/>
              <w:ind w:firstLine="482"/>
              <w:rPr>
                <w:rFonts w:ascii="仿宋" w:eastAsia="仿宋" w:hAnsi="仿宋" w:cs="Times New Roman"/>
                <w:sz w:val="24"/>
                <w:szCs w:val="24"/>
              </w:rPr>
            </w:pPr>
            <w:r w:rsidRPr="00900C2D">
              <w:rPr>
                <w:rFonts w:ascii="仿宋" w:eastAsia="仿宋" w:hAnsi="仿宋" w:cs="Times New Roman" w:hint="eastAsia"/>
                <w:bCs/>
                <w:sz w:val="24"/>
                <w:szCs w:val="24"/>
              </w:rPr>
              <w:t>4</w:t>
            </w:r>
            <w:r w:rsidRPr="00900C2D">
              <w:rPr>
                <w:rFonts w:ascii="仿宋" w:eastAsia="仿宋" w:hAnsi="仿宋" w:cs="Times New Roman" w:hint="eastAsia"/>
                <w:sz w:val="24"/>
                <w:szCs w:val="24"/>
              </w:rPr>
              <w:t>、战略与国际企业管理</w:t>
            </w:r>
          </w:p>
          <w:p w:rsidR="00900C2D" w:rsidRPr="00900C2D" w:rsidRDefault="00900C2D" w:rsidP="00900C2D">
            <w:pPr>
              <w:spacing w:line="360" w:lineRule="auto"/>
              <w:ind w:firstLine="482"/>
              <w:rPr>
                <w:rFonts w:ascii="仿宋" w:eastAsia="仿宋" w:hAnsi="仿宋" w:cs="Times New Roman"/>
                <w:sz w:val="24"/>
                <w:szCs w:val="24"/>
              </w:rPr>
            </w:pPr>
            <w:r w:rsidRPr="00900C2D">
              <w:rPr>
                <w:rFonts w:ascii="仿宋" w:eastAsia="仿宋" w:hAnsi="仿宋" w:cs="Times New Roman" w:hint="eastAsia"/>
                <w:sz w:val="24"/>
                <w:szCs w:val="24"/>
              </w:rPr>
              <w:t>5、企业法务管理</w:t>
            </w:r>
          </w:p>
          <w:p w:rsidR="00900C2D" w:rsidRPr="00900C2D" w:rsidRDefault="00900C2D" w:rsidP="00900C2D">
            <w:pPr>
              <w:spacing w:line="360" w:lineRule="auto"/>
              <w:ind w:firstLine="482"/>
              <w:rPr>
                <w:rFonts w:ascii="仿宋" w:eastAsia="仿宋" w:hAnsi="仿宋"/>
                <w:sz w:val="24"/>
                <w:szCs w:val="24"/>
              </w:rPr>
            </w:pPr>
            <w:r w:rsidRPr="00900C2D">
              <w:rPr>
                <w:rFonts w:ascii="仿宋" w:eastAsia="仿宋" w:hAnsi="仿宋" w:cs="Times New Roman" w:hint="eastAsia"/>
                <w:sz w:val="24"/>
                <w:szCs w:val="24"/>
              </w:rPr>
              <w:t>6、体育产业经营管理</w:t>
            </w:r>
          </w:p>
        </w:tc>
      </w:tr>
      <w:tr w:rsidR="002C5B56" w:rsidRPr="00744335" w:rsidTr="00864A0F">
        <w:trPr>
          <w:trHeight w:val="932"/>
        </w:trPr>
        <w:tc>
          <w:tcPr>
            <w:tcW w:w="1871" w:type="dxa"/>
          </w:tcPr>
          <w:p w:rsidR="00864A0F" w:rsidRDefault="00864A0F"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四、学制及学习年限</w:t>
            </w:r>
          </w:p>
        </w:tc>
        <w:tc>
          <w:tcPr>
            <w:tcW w:w="1498" w:type="dxa"/>
          </w:tcPr>
          <w:p w:rsidR="00864A0F" w:rsidRDefault="00864A0F" w:rsidP="0071466A">
            <w:pPr>
              <w:ind w:firstLineChars="150" w:firstLine="360"/>
              <w:rPr>
                <w:rFonts w:ascii="仿宋" w:eastAsia="仿宋" w:hAnsi="仿宋"/>
                <w:sz w:val="24"/>
                <w:szCs w:val="24"/>
              </w:rPr>
            </w:pPr>
          </w:p>
          <w:p w:rsidR="002C5B56" w:rsidRPr="00744335" w:rsidRDefault="00105D77" w:rsidP="0071466A">
            <w:pPr>
              <w:ind w:firstLineChars="150" w:firstLine="360"/>
              <w:rPr>
                <w:rFonts w:ascii="仿宋" w:eastAsia="仿宋" w:hAnsi="仿宋"/>
                <w:sz w:val="24"/>
                <w:szCs w:val="24"/>
              </w:rPr>
            </w:pPr>
            <w:r>
              <w:rPr>
                <w:rFonts w:ascii="仿宋" w:eastAsia="仿宋" w:hAnsi="仿宋" w:hint="eastAsia"/>
                <w:sz w:val="24"/>
                <w:szCs w:val="24"/>
              </w:rPr>
              <w:t>学制</w:t>
            </w:r>
          </w:p>
        </w:tc>
        <w:tc>
          <w:tcPr>
            <w:tcW w:w="1559" w:type="dxa"/>
          </w:tcPr>
          <w:p w:rsidR="00864A0F" w:rsidRDefault="00864A0F" w:rsidP="00A81ED9">
            <w:pPr>
              <w:jc w:val="center"/>
              <w:rPr>
                <w:rFonts w:ascii="仿宋" w:eastAsia="仿宋" w:hAnsi="仿宋"/>
                <w:sz w:val="24"/>
                <w:szCs w:val="24"/>
              </w:rPr>
            </w:pPr>
          </w:p>
          <w:p w:rsidR="002C5B56" w:rsidRPr="00744335" w:rsidRDefault="00606E86" w:rsidP="00A81ED9">
            <w:pPr>
              <w:jc w:val="center"/>
              <w:rPr>
                <w:rFonts w:ascii="仿宋" w:eastAsia="仿宋" w:hAnsi="仿宋"/>
                <w:sz w:val="24"/>
                <w:szCs w:val="24"/>
              </w:rPr>
            </w:pPr>
            <w:r>
              <w:rPr>
                <w:rFonts w:ascii="仿宋" w:eastAsia="仿宋" w:hAnsi="仿宋" w:hint="eastAsia"/>
                <w:sz w:val="24"/>
                <w:szCs w:val="24"/>
              </w:rPr>
              <w:t>两年</w:t>
            </w:r>
          </w:p>
        </w:tc>
        <w:tc>
          <w:tcPr>
            <w:tcW w:w="1984" w:type="dxa"/>
          </w:tcPr>
          <w:p w:rsidR="00864A0F" w:rsidRDefault="00864A0F" w:rsidP="0071466A">
            <w:pPr>
              <w:ind w:firstLineChars="100" w:firstLine="240"/>
              <w:rPr>
                <w:rFonts w:ascii="仿宋" w:eastAsia="仿宋" w:hAnsi="仿宋"/>
                <w:sz w:val="24"/>
                <w:szCs w:val="24"/>
              </w:rPr>
            </w:pPr>
          </w:p>
          <w:p w:rsidR="002C5B56" w:rsidRPr="00744335" w:rsidRDefault="002C5B56" w:rsidP="0071466A">
            <w:pPr>
              <w:ind w:firstLineChars="100" w:firstLine="240"/>
              <w:rPr>
                <w:rFonts w:ascii="仿宋" w:eastAsia="仿宋" w:hAnsi="仿宋"/>
                <w:sz w:val="24"/>
                <w:szCs w:val="24"/>
              </w:rPr>
            </w:pPr>
            <w:r w:rsidRPr="00744335">
              <w:rPr>
                <w:rFonts w:ascii="仿宋" w:eastAsia="仿宋" w:hAnsi="仿宋" w:hint="eastAsia"/>
                <w:sz w:val="24"/>
                <w:szCs w:val="24"/>
              </w:rPr>
              <w:t>学习年限</w:t>
            </w:r>
          </w:p>
        </w:tc>
        <w:tc>
          <w:tcPr>
            <w:tcW w:w="2212" w:type="dxa"/>
          </w:tcPr>
          <w:p w:rsidR="00864A0F" w:rsidRDefault="00864A0F" w:rsidP="00A81ED9">
            <w:pPr>
              <w:jc w:val="center"/>
              <w:rPr>
                <w:rFonts w:ascii="仿宋" w:eastAsia="仿宋" w:hAnsi="仿宋"/>
                <w:sz w:val="24"/>
                <w:szCs w:val="24"/>
              </w:rPr>
            </w:pPr>
          </w:p>
          <w:p w:rsidR="002C5B56" w:rsidRPr="00744335" w:rsidRDefault="00A81ED9" w:rsidP="00A81ED9">
            <w:pPr>
              <w:jc w:val="center"/>
              <w:rPr>
                <w:rFonts w:ascii="仿宋" w:eastAsia="仿宋" w:hAnsi="仿宋"/>
                <w:sz w:val="24"/>
                <w:szCs w:val="24"/>
              </w:rPr>
            </w:pPr>
            <w:r>
              <w:rPr>
                <w:rFonts w:ascii="仿宋" w:eastAsia="仿宋" w:hAnsi="仿宋" w:hint="eastAsia"/>
                <w:sz w:val="24"/>
                <w:szCs w:val="24"/>
              </w:rPr>
              <w:t>最长四年</w:t>
            </w:r>
          </w:p>
        </w:tc>
      </w:tr>
      <w:tr w:rsidR="002C5B56" w:rsidRPr="00744335" w:rsidTr="0071466A">
        <w:trPr>
          <w:trHeight w:val="227"/>
        </w:trPr>
        <w:tc>
          <w:tcPr>
            <w:tcW w:w="1871" w:type="dxa"/>
          </w:tcPr>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五、</w:t>
            </w:r>
            <w:r w:rsidRPr="00744335">
              <w:rPr>
                <w:rFonts w:ascii="黑体" w:eastAsia="黑体" w:hAnsi="黑体"/>
                <w:sz w:val="24"/>
                <w:szCs w:val="24"/>
              </w:rPr>
              <w:t>课程设置、</w:t>
            </w:r>
            <w:r w:rsidRPr="00744335">
              <w:rPr>
                <w:rFonts w:ascii="黑体" w:eastAsia="黑体" w:hAnsi="黑体" w:hint="eastAsia"/>
                <w:sz w:val="24"/>
                <w:szCs w:val="24"/>
              </w:rPr>
              <w:t>其他培养环节、教学计划与</w:t>
            </w:r>
            <w:r w:rsidRPr="00744335">
              <w:rPr>
                <w:rFonts w:ascii="黑体" w:eastAsia="黑体" w:hAnsi="黑体"/>
                <w:sz w:val="24"/>
                <w:szCs w:val="24"/>
              </w:rPr>
              <w:t>学分要求</w:t>
            </w:r>
          </w:p>
        </w:tc>
        <w:tc>
          <w:tcPr>
            <w:tcW w:w="7253" w:type="dxa"/>
            <w:gridSpan w:val="4"/>
          </w:tcPr>
          <w:p w:rsidR="002C5B56" w:rsidRPr="00744335" w:rsidRDefault="002C5B56" w:rsidP="00864A0F">
            <w:pPr>
              <w:jc w:val="center"/>
              <w:rPr>
                <w:sz w:val="24"/>
                <w:szCs w:val="24"/>
              </w:rPr>
            </w:pPr>
          </w:p>
          <w:p w:rsidR="002C5B56" w:rsidRPr="001C0933" w:rsidRDefault="002C5B56" w:rsidP="00864A0F">
            <w:pPr>
              <w:ind w:firstLineChars="250" w:firstLine="600"/>
              <w:jc w:val="center"/>
              <w:rPr>
                <w:rFonts w:ascii="仿宋" w:eastAsia="仿宋" w:hAnsi="仿宋"/>
                <w:sz w:val="24"/>
                <w:szCs w:val="24"/>
              </w:rPr>
            </w:pPr>
            <w:r w:rsidRPr="001C0933">
              <w:rPr>
                <w:rFonts w:ascii="仿宋" w:eastAsia="仿宋" w:hAnsi="仿宋" w:hint="eastAsia"/>
                <w:sz w:val="24"/>
                <w:szCs w:val="24"/>
              </w:rPr>
              <w:t>见附表</w:t>
            </w:r>
          </w:p>
        </w:tc>
      </w:tr>
      <w:tr w:rsidR="002C5B56" w:rsidRPr="00744335" w:rsidTr="006C7B9F">
        <w:trPr>
          <w:trHeight w:val="1550"/>
        </w:trPr>
        <w:tc>
          <w:tcPr>
            <w:tcW w:w="1871" w:type="dxa"/>
          </w:tcPr>
          <w:p w:rsidR="002C5B56" w:rsidRPr="00744335" w:rsidRDefault="002C5B56"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p>
          <w:p w:rsidR="00900C2D" w:rsidRDefault="00900C2D"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六、培养方式</w:t>
            </w:r>
          </w:p>
        </w:tc>
        <w:tc>
          <w:tcPr>
            <w:tcW w:w="7253" w:type="dxa"/>
            <w:gridSpan w:val="4"/>
          </w:tcPr>
          <w:p w:rsidR="006C7B9F" w:rsidRPr="006C7B9F" w:rsidRDefault="006C7B9F" w:rsidP="005844D2">
            <w:pPr>
              <w:ind w:firstLineChars="200" w:firstLine="480"/>
              <w:rPr>
                <w:rFonts w:ascii="仿宋" w:eastAsia="仿宋" w:hAnsi="仿宋"/>
                <w:sz w:val="24"/>
                <w:szCs w:val="24"/>
              </w:rPr>
            </w:pPr>
            <w:r w:rsidRPr="006C7B9F">
              <w:rPr>
                <w:rFonts w:ascii="仿宋" w:eastAsia="仿宋" w:hAnsi="仿宋" w:hint="eastAsia"/>
                <w:sz w:val="24"/>
                <w:szCs w:val="24"/>
              </w:rPr>
              <w:t>1、MBA专业硕士研究生培养采取导师负责与集体培养相结合的方式，采取“多导师制”，即分别安排商学、法学和实务界资深人士担任学生导师，指导日常学习、实践和论文写作。</w:t>
            </w:r>
          </w:p>
          <w:p w:rsidR="006C7B9F" w:rsidRPr="006C7B9F" w:rsidRDefault="006C7B9F" w:rsidP="005844D2">
            <w:pPr>
              <w:ind w:firstLineChars="200" w:firstLine="480"/>
              <w:rPr>
                <w:rFonts w:ascii="仿宋" w:eastAsia="仿宋" w:hAnsi="仿宋"/>
                <w:sz w:val="24"/>
                <w:szCs w:val="24"/>
              </w:rPr>
            </w:pPr>
            <w:r w:rsidRPr="006C7B9F">
              <w:rPr>
                <w:rFonts w:ascii="仿宋" w:eastAsia="仿宋" w:hAnsi="仿宋" w:hint="eastAsia"/>
                <w:sz w:val="24"/>
                <w:szCs w:val="24"/>
              </w:rPr>
              <w:t>2、在硕士研究生培养过程中，应合理安排课程学习、论文写作和实践活动等各个环节。</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（1）充分发挥个人学习计划在引导和促进MBA硕士研究生自主学习和研究中的作用。</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（2）课程学习环节应注重MBA学生的自主学习能力、研究能力和实践能力的培养。硕士研究生可根据本人学习计划合理安排课程学习时间，在申请硕士学位论文答辩前完成规定的全部学分。</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3）充分注重MBA学生对实践能力的培养，在课堂教学中加强案例分析、团队研讨、专题讲座等多种形式教学效果的同时，积极开辟第二课堂，引导学生参与社会实践，每位学生至少要完成一篇解决实际问题的分析报告，提高学生适应实际工作的能力。</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（4）为进一步加强课堂理论教学与企业经营管理实际之间的联系，聘请校外MBA教学专家和知名企业家、律所合伙人来校授课或做专题讲座。</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5）英语课程的教学要紧密结合MBA学生的特点，加强商务领域的适用性教学，突出精读，口语和应用文写作三个部分，增加学生商务英语的词汇量和英语会话、写作能力，教材、教学方法和考试方式区别于其它专业学术型研究生，单独命题考核。</w:t>
            </w:r>
          </w:p>
          <w:p w:rsidR="006C7B9F" w:rsidRPr="006C7B9F" w:rsidRDefault="006C7B9F" w:rsidP="005844D2">
            <w:pPr>
              <w:ind w:firstLineChars="100" w:firstLine="240"/>
              <w:rPr>
                <w:rFonts w:ascii="仿宋" w:eastAsia="仿宋" w:hAnsi="仿宋"/>
                <w:sz w:val="24"/>
                <w:szCs w:val="24"/>
              </w:rPr>
            </w:pPr>
            <w:r w:rsidRPr="006C7B9F">
              <w:rPr>
                <w:rFonts w:ascii="仿宋" w:eastAsia="仿宋" w:hAnsi="仿宋" w:hint="eastAsia"/>
                <w:sz w:val="24"/>
                <w:szCs w:val="24"/>
              </w:rPr>
              <w:t>（6）MBA学生须通过专题讲座、学习研讨等形式接受企业社会责任和商业伦理方面的教育。</w:t>
            </w:r>
          </w:p>
          <w:p w:rsidR="006C7B9F" w:rsidRPr="006C7B9F" w:rsidRDefault="006C7B9F" w:rsidP="005844D2">
            <w:pPr>
              <w:ind w:firstLineChars="50" w:firstLine="120"/>
              <w:rPr>
                <w:rFonts w:ascii="仿宋" w:eastAsia="仿宋" w:hAnsi="仿宋"/>
                <w:sz w:val="24"/>
                <w:szCs w:val="24"/>
              </w:rPr>
            </w:pPr>
            <w:r w:rsidRPr="006C7B9F">
              <w:rPr>
                <w:rFonts w:ascii="仿宋" w:eastAsia="仿宋" w:hAnsi="仿宋" w:hint="eastAsia"/>
                <w:sz w:val="24"/>
                <w:szCs w:val="24"/>
              </w:rPr>
              <w:lastRenderedPageBreak/>
              <w:t>（7）论文工作环节除了考察MBA学生综合运用所学理论、知识的水平以外，还要注重培养学员对经营管理现实问题的理解能力以及运用方法工具解决实际问题的能力。导师应指导MBA学员制订科学的研究和论文写作计划，引导学生尽早进入论文的研究与写作状态。</w:t>
            </w:r>
          </w:p>
        </w:tc>
      </w:tr>
      <w:tr w:rsidR="002C5B56" w:rsidRPr="00744335" w:rsidTr="0071466A">
        <w:trPr>
          <w:trHeight w:val="227"/>
        </w:trPr>
        <w:tc>
          <w:tcPr>
            <w:tcW w:w="1871" w:type="dxa"/>
          </w:tcPr>
          <w:p w:rsidR="00B405EB" w:rsidRDefault="00B405EB" w:rsidP="00B405EB">
            <w:pPr>
              <w:jc w:val="center"/>
              <w:rPr>
                <w:rFonts w:ascii="黑体" w:eastAsia="黑体" w:hAnsi="黑体"/>
                <w:sz w:val="24"/>
                <w:szCs w:val="24"/>
              </w:rPr>
            </w:pPr>
          </w:p>
          <w:p w:rsidR="00B405EB" w:rsidRDefault="00B405EB" w:rsidP="00B405EB">
            <w:pPr>
              <w:jc w:val="center"/>
              <w:rPr>
                <w:rFonts w:ascii="黑体" w:eastAsia="黑体" w:hAnsi="黑体"/>
                <w:sz w:val="24"/>
                <w:szCs w:val="24"/>
              </w:rPr>
            </w:pPr>
          </w:p>
          <w:p w:rsidR="00B405EB" w:rsidRDefault="00B405EB" w:rsidP="00B405EB">
            <w:pPr>
              <w:jc w:val="center"/>
              <w:rPr>
                <w:rFonts w:ascii="黑体" w:eastAsia="黑体" w:hAnsi="黑体"/>
                <w:sz w:val="24"/>
                <w:szCs w:val="24"/>
              </w:rPr>
            </w:pPr>
          </w:p>
          <w:p w:rsidR="00B405EB" w:rsidRDefault="00B405EB" w:rsidP="00B405EB">
            <w:pPr>
              <w:jc w:val="center"/>
              <w:rPr>
                <w:rFonts w:ascii="黑体" w:eastAsia="黑体" w:hAnsi="黑体"/>
                <w:sz w:val="24"/>
                <w:szCs w:val="24"/>
              </w:rPr>
            </w:pPr>
          </w:p>
          <w:p w:rsidR="00B405EB" w:rsidRDefault="00B405EB" w:rsidP="00B405EB">
            <w:pPr>
              <w:jc w:val="center"/>
              <w:rPr>
                <w:rFonts w:ascii="黑体" w:eastAsia="黑体" w:hAnsi="黑体"/>
                <w:sz w:val="24"/>
                <w:szCs w:val="24"/>
              </w:rPr>
            </w:pPr>
          </w:p>
          <w:p w:rsidR="002C5B56" w:rsidRPr="00744335" w:rsidRDefault="002C5B56" w:rsidP="00B405EB">
            <w:pPr>
              <w:jc w:val="center"/>
              <w:rPr>
                <w:rFonts w:ascii="黑体" w:eastAsia="黑体" w:hAnsi="黑体"/>
                <w:sz w:val="24"/>
                <w:szCs w:val="24"/>
              </w:rPr>
            </w:pPr>
            <w:r w:rsidRPr="00744335">
              <w:rPr>
                <w:rFonts w:ascii="黑体" w:eastAsia="黑体" w:hAnsi="黑体" w:hint="eastAsia"/>
                <w:sz w:val="24"/>
                <w:szCs w:val="24"/>
              </w:rPr>
              <w:t>七、考核方式</w:t>
            </w:r>
          </w:p>
        </w:tc>
        <w:tc>
          <w:tcPr>
            <w:tcW w:w="7253" w:type="dxa"/>
            <w:gridSpan w:val="4"/>
          </w:tcPr>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培养方案规定的课程考核，按照国家和学校有关规定，可以采取笔试、口试或者笔试加口试等方式进行。口试必须由两名以上教师主持，且必须有口试记录，并由主考教师和记录人共同签名。</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与建立研究生分流培养的机制相适应，配合多规格多标准的人才培养模式，加强阶段性考核，重视选拔培养对象、重点扶持等环节。</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社会实践环节是专业硕士研究生的必修环节。社会实践可以通过入学导向、法商管理国内外游学和企业调查等方式进行，以专业实习为主。社会实践需要提交一篇解决实际问题不低于5千字的社会实践报告。</w:t>
            </w:r>
          </w:p>
          <w:p w:rsidR="002C5B56" w:rsidRPr="005844D2" w:rsidRDefault="005844D2" w:rsidP="005844D2">
            <w:pPr>
              <w:ind w:firstLineChars="150" w:firstLine="360"/>
            </w:pPr>
            <w:r w:rsidRPr="005844D2">
              <w:rPr>
                <w:rFonts w:ascii="仿宋" w:eastAsia="仿宋" w:hAnsi="仿宋" w:hint="eastAsia"/>
                <w:sz w:val="24"/>
                <w:szCs w:val="24"/>
              </w:rPr>
              <w:t>专业硕士研究生的开题报告按照《中国政法大学专业硕士研究生培养规定》，由3位具有导师资格的校内外专家组成考核委员会进行。</w:t>
            </w:r>
          </w:p>
        </w:tc>
      </w:tr>
      <w:tr w:rsidR="002C5B56" w:rsidRPr="00744335" w:rsidTr="0071466A">
        <w:trPr>
          <w:trHeight w:val="1985"/>
        </w:trPr>
        <w:tc>
          <w:tcPr>
            <w:tcW w:w="1871" w:type="dxa"/>
          </w:tcPr>
          <w:p w:rsidR="002C5B56" w:rsidRPr="00744335" w:rsidRDefault="002C5B56"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八、学位论文选题与撰写</w:t>
            </w:r>
          </w:p>
        </w:tc>
        <w:tc>
          <w:tcPr>
            <w:tcW w:w="7253" w:type="dxa"/>
            <w:gridSpan w:val="4"/>
          </w:tcPr>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学位论文的选题，由研究生与导师协商确定，由开题小组导师提出修改建议，最后确定题目；</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学位论文初稿完成后，导师认真修改，必要时发回重写，最后定稿打印；</w:t>
            </w:r>
          </w:p>
          <w:p w:rsidR="002C5B56"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学位论文必须符合学校原创性和规范性要求，严禁抄袭剽窃，且论文正文字数不少于三万字。</w:t>
            </w:r>
          </w:p>
        </w:tc>
      </w:tr>
      <w:tr w:rsidR="002C5B56" w:rsidRPr="00744335" w:rsidTr="00864A0F">
        <w:trPr>
          <w:trHeight w:val="946"/>
        </w:trPr>
        <w:tc>
          <w:tcPr>
            <w:tcW w:w="1871" w:type="dxa"/>
          </w:tcPr>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2C5B56" w:rsidRPr="00744335" w:rsidRDefault="002C5B56" w:rsidP="00864A0F">
            <w:pPr>
              <w:jc w:val="center"/>
              <w:rPr>
                <w:rFonts w:ascii="黑体" w:eastAsia="黑体" w:hAnsi="黑体"/>
                <w:sz w:val="24"/>
                <w:szCs w:val="24"/>
              </w:rPr>
            </w:pPr>
            <w:r w:rsidRPr="00744335">
              <w:rPr>
                <w:rFonts w:ascii="黑体" w:eastAsia="黑体" w:hAnsi="黑体" w:hint="eastAsia"/>
                <w:sz w:val="24"/>
                <w:szCs w:val="24"/>
              </w:rPr>
              <w:t>九、学位论文答辩与学位授予</w:t>
            </w:r>
          </w:p>
        </w:tc>
        <w:tc>
          <w:tcPr>
            <w:tcW w:w="7253" w:type="dxa"/>
            <w:gridSpan w:val="4"/>
          </w:tcPr>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申请学位必须符合国家规定的法定条件；</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学位申请材料必须齐全，内容全面真实；</w:t>
            </w:r>
          </w:p>
          <w:p w:rsidR="005844D2" w:rsidRPr="005844D2" w:rsidRDefault="005844D2" w:rsidP="005844D2">
            <w:pPr>
              <w:ind w:firstLineChars="100" w:firstLine="240"/>
              <w:rPr>
                <w:rFonts w:ascii="仿宋" w:eastAsia="仿宋" w:hAnsi="仿宋"/>
                <w:sz w:val="24"/>
                <w:szCs w:val="24"/>
              </w:rPr>
            </w:pPr>
            <w:r w:rsidRPr="005844D2">
              <w:rPr>
                <w:rFonts w:ascii="仿宋" w:eastAsia="仿宋" w:hAnsi="仿宋" w:hint="eastAsia"/>
                <w:sz w:val="24"/>
                <w:szCs w:val="24"/>
              </w:rPr>
              <w:t>【预答辩制度学校不做统一要求，是否实行由各专业根据实际情况自定。】</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5844D2" w:rsidRPr="005844D2" w:rsidRDefault="005844D2" w:rsidP="005844D2">
            <w:pPr>
              <w:ind w:firstLineChars="150" w:firstLine="360"/>
              <w:rPr>
                <w:rFonts w:ascii="仿宋" w:eastAsia="仿宋" w:hAnsi="仿宋"/>
                <w:sz w:val="24"/>
                <w:szCs w:val="24"/>
              </w:rPr>
            </w:pPr>
            <w:r w:rsidRPr="005844D2">
              <w:rPr>
                <w:rFonts w:ascii="仿宋" w:eastAsia="仿宋" w:hAnsi="仿宋" w:hint="eastAsia"/>
                <w:sz w:val="24"/>
                <w:szCs w:val="24"/>
              </w:rPr>
              <w:t>答辩委员会在认真审阅学位论文的基础上，对申请人进行公正、严肃、认真、负责的提问和无记名表决，并向校学位评定委员会提出授予或不授予硕士学位的建议。</w:t>
            </w:r>
          </w:p>
          <w:p w:rsidR="002C5B56" w:rsidRPr="005844D2" w:rsidRDefault="005844D2" w:rsidP="005844D2">
            <w:pPr>
              <w:ind w:firstLineChars="150" w:firstLine="360"/>
            </w:pPr>
            <w:r w:rsidRPr="005844D2">
              <w:rPr>
                <w:rFonts w:ascii="仿宋" w:eastAsia="仿宋" w:hAnsi="仿宋" w:hint="eastAsia"/>
                <w:sz w:val="24"/>
                <w:szCs w:val="24"/>
              </w:rPr>
              <w:t>硕士学位的授予应符合《中国政法大学学位授予办法》（法大发〔2016〕44号）和《中华人民共和国学位条例》的要求。</w:t>
            </w:r>
          </w:p>
        </w:tc>
      </w:tr>
      <w:tr w:rsidR="002C5B56" w:rsidRPr="001C0933" w:rsidTr="0071466A">
        <w:trPr>
          <w:trHeight w:val="1588"/>
        </w:trPr>
        <w:tc>
          <w:tcPr>
            <w:tcW w:w="1871" w:type="dxa"/>
          </w:tcPr>
          <w:p w:rsidR="002C5B56" w:rsidRPr="009B12D7" w:rsidRDefault="002C5B56" w:rsidP="00864A0F">
            <w:pPr>
              <w:jc w:val="center"/>
              <w:rPr>
                <w:rFonts w:ascii="仿宋" w:eastAsia="仿宋" w:hAnsi="仿宋"/>
                <w:sz w:val="24"/>
                <w:szCs w:val="24"/>
              </w:rPr>
            </w:pPr>
          </w:p>
          <w:p w:rsidR="002C5B56" w:rsidRPr="009B12D7" w:rsidRDefault="002C5B56" w:rsidP="00864A0F">
            <w:pPr>
              <w:jc w:val="center"/>
              <w:rPr>
                <w:rFonts w:ascii="仿宋" w:eastAsia="仿宋" w:hAnsi="仿宋"/>
                <w:sz w:val="24"/>
                <w:szCs w:val="24"/>
              </w:rPr>
            </w:pPr>
          </w:p>
          <w:p w:rsidR="00B405EB" w:rsidRDefault="00B405EB" w:rsidP="00864A0F">
            <w:pPr>
              <w:jc w:val="center"/>
              <w:rPr>
                <w:rFonts w:ascii="黑体" w:eastAsia="黑体" w:hAnsi="黑体"/>
                <w:sz w:val="24"/>
                <w:szCs w:val="24"/>
              </w:rPr>
            </w:pPr>
          </w:p>
          <w:p w:rsidR="00B405EB" w:rsidRDefault="00B405EB" w:rsidP="00864A0F">
            <w:pPr>
              <w:jc w:val="center"/>
              <w:rPr>
                <w:rFonts w:ascii="黑体" w:eastAsia="黑体" w:hAnsi="黑体"/>
                <w:sz w:val="24"/>
                <w:szCs w:val="24"/>
              </w:rPr>
            </w:pPr>
          </w:p>
          <w:p w:rsidR="002C5B56" w:rsidRPr="009B12D7" w:rsidRDefault="002C5B56" w:rsidP="00864A0F">
            <w:pPr>
              <w:jc w:val="center"/>
              <w:rPr>
                <w:rFonts w:ascii="黑体" w:eastAsia="黑体" w:hAnsi="黑体"/>
                <w:sz w:val="24"/>
                <w:szCs w:val="24"/>
              </w:rPr>
            </w:pPr>
            <w:r w:rsidRPr="009B12D7">
              <w:rPr>
                <w:rFonts w:ascii="黑体" w:eastAsia="黑体" w:hAnsi="黑体" w:hint="eastAsia"/>
                <w:sz w:val="24"/>
                <w:szCs w:val="24"/>
              </w:rPr>
              <w:t>十、参考文献</w:t>
            </w:r>
          </w:p>
        </w:tc>
        <w:tc>
          <w:tcPr>
            <w:tcW w:w="7253" w:type="dxa"/>
            <w:gridSpan w:val="4"/>
          </w:tcPr>
          <w:p w:rsidR="005844D2" w:rsidRPr="005844D2" w:rsidRDefault="005844D2" w:rsidP="005844D2">
            <w:pPr>
              <w:pStyle w:val="ab"/>
              <w:spacing w:line="360" w:lineRule="auto"/>
              <w:ind w:firstLineChars="150" w:firstLine="360"/>
              <w:rPr>
                <w:rFonts w:ascii="仿宋" w:eastAsia="仿宋" w:hAnsi="仿宋" w:cs="宋体"/>
                <w:szCs w:val="24"/>
              </w:rPr>
            </w:pPr>
            <w:r w:rsidRPr="005844D2">
              <w:rPr>
                <w:rFonts w:ascii="仿宋" w:eastAsia="仿宋" w:hAnsi="仿宋" w:cs="宋体" w:hint="eastAsia"/>
                <w:szCs w:val="24"/>
              </w:rPr>
              <w:t>参考教材、参考文献是课程大纲的重要组成部分，其选择确定，应坚持经典性与现实性、传统性与发展性、平面型与电子型相结合，注重理论性、权威性、广泛性、新颖性和实践性。</w:t>
            </w:r>
          </w:p>
          <w:p w:rsidR="005844D2" w:rsidRPr="005844D2" w:rsidRDefault="005844D2" w:rsidP="005844D2">
            <w:pPr>
              <w:pStyle w:val="ab"/>
              <w:spacing w:line="360" w:lineRule="auto"/>
              <w:ind w:firstLineChars="150" w:firstLine="360"/>
              <w:rPr>
                <w:rFonts w:ascii="仿宋" w:eastAsia="仿宋" w:hAnsi="仿宋" w:cs="宋体"/>
                <w:szCs w:val="24"/>
              </w:rPr>
            </w:pPr>
            <w:r w:rsidRPr="005844D2">
              <w:rPr>
                <w:rFonts w:ascii="仿宋" w:eastAsia="仿宋" w:hAnsi="仿宋" w:cs="宋体" w:hint="eastAsia"/>
                <w:szCs w:val="24"/>
              </w:rPr>
              <w:t>按照参考文献在文中出现的顺序采用阿拉伯数字连续编号，其排列格式为：</w:t>
            </w:r>
          </w:p>
          <w:p w:rsidR="005844D2" w:rsidRPr="005844D2" w:rsidRDefault="005844D2" w:rsidP="005844D2">
            <w:pPr>
              <w:pStyle w:val="ab"/>
              <w:spacing w:line="360" w:lineRule="auto"/>
              <w:ind w:firstLine="482"/>
              <w:rPr>
                <w:rFonts w:ascii="仿宋" w:eastAsia="仿宋" w:hAnsi="仿宋" w:cs="宋体"/>
                <w:szCs w:val="24"/>
              </w:rPr>
            </w:pPr>
            <w:r w:rsidRPr="005844D2">
              <w:rPr>
                <w:rFonts w:ascii="仿宋" w:eastAsia="仿宋" w:hAnsi="仿宋" w:cs="宋体" w:hint="eastAsia"/>
                <w:szCs w:val="24"/>
              </w:rPr>
              <w:lastRenderedPageBreak/>
              <w:t>（1）专著中的文献</w:t>
            </w:r>
          </w:p>
          <w:p w:rsidR="005844D2" w:rsidRPr="005844D2" w:rsidRDefault="005844D2" w:rsidP="005844D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［序号］作者．专著名称版本（第１版不加标注）出版者，出版年</w:t>
            </w:r>
          </w:p>
          <w:p w:rsidR="005844D2" w:rsidRPr="005844D2" w:rsidRDefault="005844D2" w:rsidP="005844D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（2）期刊中的文献</w:t>
            </w:r>
          </w:p>
          <w:p w:rsidR="005844D2" w:rsidRPr="005844D2" w:rsidRDefault="005844D2" w:rsidP="005844D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［序号］作者．文献名称．期刊名称，卷号（期号）年月</w:t>
            </w:r>
          </w:p>
          <w:p w:rsidR="005844D2" w:rsidRPr="005844D2" w:rsidRDefault="005844D2" w:rsidP="005844D2">
            <w:pPr>
              <w:pStyle w:val="ab"/>
              <w:spacing w:line="360" w:lineRule="auto"/>
              <w:ind w:firstLine="482"/>
              <w:rPr>
                <w:rFonts w:ascii="仿宋" w:eastAsia="仿宋" w:hAnsi="仿宋" w:cs="宋体"/>
                <w:szCs w:val="24"/>
              </w:rPr>
            </w:pPr>
            <w:r w:rsidRPr="005844D2">
              <w:rPr>
                <w:rFonts w:ascii="仿宋" w:eastAsia="仿宋" w:hAnsi="仿宋" w:cs="宋体"/>
                <w:szCs w:val="24"/>
              </w:rPr>
              <w:t>[1] Frederick S. Hiller, Mark S. Hiller, Karl Schmedders, Molly Stephens, Introduction to Management Science: A Modeling and Case Studies Approach with Spreadsheets, 3 rd edition, McGraw-Hill Education. 2010</w:t>
            </w:r>
          </w:p>
          <w:p w:rsidR="005844D2" w:rsidRPr="005844D2" w:rsidRDefault="005844D2" w:rsidP="005844D2">
            <w:pPr>
              <w:pStyle w:val="ab"/>
              <w:spacing w:line="360" w:lineRule="auto"/>
              <w:ind w:firstLine="482"/>
              <w:rPr>
                <w:rFonts w:ascii="仿宋" w:eastAsia="仿宋" w:hAnsi="仿宋" w:cs="宋体"/>
                <w:szCs w:val="24"/>
              </w:rPr>
            </w:pPr>
          </w:p>
          <w:p w:rsidR="00B11A92" w:rsidRPr="005844D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1、</w:t>
            </w:r>
            <w:r w:rsidR="00B11A92" w:rsidRPr="005844D2">
              <w:rPr>
                <w:rFonts w:ascii="仿宋" w:eastAsia="仿宋" w:hAnsi="仿宋" w:cs="宋体" w:hint="eastAsia"/>
                <w:szCs w:val="24"/>
              </w:rPr>
              <w:t>陈郁：《所有权、控制权与激励——代理经济学文选》，上海三联书店1998年版。</w:t>
            </w:r>
          </w:p>
          <w:p w:rsidR="005844D2" w:rsidRPr="00B11A9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2、</w:t>
            </w:r>
            <w:r w:rsidR="00B11A92" w:rsidRPr="005844D2">
              <w:rPr>
                <w:rFonts w:ascii="仿宋" w:eastAsia="仿宋" w:hAnsi="仿宋" w:cs="宋体" w:hint="eastAsia"/>
                <w:szCs w:val="24"/>
              </w:rPr>
              <w:t>[美]迈克尔·波特著：《竞争优势》中国财政经济出版社，1988年11月</w:t>
            </w:r>
          </w:p>
          <w:p w:rsidR="00B11A92" w:rsidRPr="00B11A9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3、</w:t>
            </w:r>
            <w:r w:rsidR="00B11A92" w:rsidRPr="005844D2">
              <w:rPr>
                <w:rFonts w:ascii="仿宋" w:eastAsia="仿宋" w:hAnsi="仿宋" w:cs="宋体" w:hint="eastAsia"/>
                <w:szCs w:val="24"/>
              </w:rPr>
              <w:t>[美]道格拉斯·R·爱默瑞等著，《公司财务管理》，中国人民大学出版社，1991年11月</w:t>
            </w:r>
          </w:p>
          <w:p w:rsidR="00B11A92" w:rsidRPr="005844D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4、</w:t>
            </w:r>
            <w:r w:rsidR="00B11A92" w:rsidRPr="005844D2">
              <w:rPr>
                <w:rFonts w:ascii="仿宋" w:eastAsia="仿宋" w:hAnsi="仿宋" w:cs="宋体" w:hint="eastAsia"/>
                <w:szCs w:val="24"/>
              </w:rPr>
              <w:t>[美]迈克尔·波特著：《竞争战略》华夏出版社，1997年1月</w:t>
            </w:r>
          </w:p>
          <w:p w:rsidR="00B11A92" w:rsidRPr="005844D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5、</w:t>
            </w:r>
            <w:r w:rsidR="00B11A92" w:rsidRPr="005844D2">
              <w:rPr>
                <w:rFonts w:ascii="仿宋" w:eastAsia="仿宋" w:hAnsi="仿宋" w:cs="宋体" w:hint="eastAsia"/>
                <w:szCs w:val="24"/>
              </w:rPr>
              <w:t>弗雷德·威斯顿等著：《兼并、重组与公司控制》，经济科学出版社，1998年。</w:t>
            </w:r>
          </w:p>
          <w:p w:rsidR="00B11A92" w:rsidRPr="005844D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6、</w:t>
            </w:r>
            <w:r w:rsidR="00B11A92" w:rsidRPr="005844D2">
              <w:rPr>
                <w:rFonts w:ascii="仿宋" w:eastAsia="仿宋" w:hAnsi="仿宋" w:cs="宋体" w:hint="eastAsia"/>
                <w:szCs w:val="24"/>
              </w:rPr>
              <w:t>[美]戴维.贝赞可等著：《公司战略经济学》北京大学出版社，1999年9月</w:t>
            </w:r>
          </w:p>
          <w:p w:rsidR="00B11A92" w:rsidRPr="005844D2" w:rsidRDefault="005844D2" w:rsidP="00B11A92">
            <w:pPr>
              <w:pStyle w:val="ab"/>
              <w:spacing w:line="360" w:lineRule="auto"/>
              <w:ind w:firstLine="482"/>
              <w:rPr>
                <w:rFonts w:ascii="仿宋" w:eastAsia="仿宋" w:hAnsi="仿宋" w:cs="宋体"/>
                <w:szCs w:val="24"/>
              </w:rPr>
            </w:pPr>
            <w:r w:rsidRPr="005844D2">
              <w:rPr>
                <w:rFonts w:ascii="仿宋" w:eastAsia="仿宋" w:hAnsi="仿宋" w:cs="宋体" w:hint="eastAsia"/>
                <w:szCs w:val="24"/>
              </w:rPr>
              <w:t>7、</w:t>
            </w:r>
            <w:r w:rsidR="00B11A92" w:rsidRPr="005844D2">
              <w:rPr>
                <w:rFonts w:ascii="仿宋" w:eastAsia="仿宋" w:hAnsi="仿宋" w:cs="宋体" w:hint="eastAsia"/>
                <w:szCs w:val="24"/>
              </w:rPr>
              <w:t>[美]斯蒂芬·P·罗宾斯著，《管理学》，中国人民大学出版社，1999年4月</w:t>
            </w:r>
          </w:p>
          <w:p w:rsidR="00C551DA" w:rsidRPr="005844D2" w:rsidRDefault="005844D2" w:rsidP="00C551DA">
            <w:pPr>
              <w:pStyle w:val="ab"/>
              <w:spacing w:line="360" w:lineRule="auto"/>
              <w:ind w:firstLine="482"/>
              <w:rPr>
                <w:rFonts w:ascii="仿宋" w:eastAsia="仿宋" w:hAnsi="仿宋" w:cs="宋体"/>
                <w:szCs w:val="24"/>
              </w:rPr>
            </w:pPr>
            <w:r w:rsidRPr="005844D2">
              <w:rPr>
                <w:rFonts w:ascii="仿宋" w:eastAsia="仿宋" w:hAnsi="仿宋" w:cs="宋体" w:hint="eastAsia"/>
                <w:szCs w:val="24"/>
              </w:rPr>
              <w:t>8、</w:t>
            </w:r>
            <w:r w:rsidR="00C551DA" w:rsidRPr="005844D2">
              <w:rPr>
                <w:rFonts w:ascii="仿宋" w:eastAsia="仿宋" w:hAnsi="仿宋" w:cs="宋体" w:hint="eastAsia"/>
                <w:szCs w:val="24"/>
              </w:rPr>
              <w:t>[美]大卫·J·科利斯等著：《公司战略》东北财经大学出版社，2000年3月</w:t>
            </w:r>
          </w:p>
          <w:p w:rsidR="00C551DA" w:rsidRPr="005844D2" w:rsidRDefault="005844D2" w:rsidP="00C551DA">
            <w:pPr>
              <w:pStyle w:val="ab"/>
              <w:spacing w:line="360" w:lineRule="auto"/>
              <w:ind w:firstLine="482"/>
              <w:rPr>
                <w:rFonts w:ascii="仿宋" w:eastAsia="仿宋" w:hAnsi="仿宋" w:cs="宋体"/>
                <w:szCs w:val="24"/>
              </w:rPr>
            </w:pPr>
            <w:r w:rsidRPr="005844D2">
              <w:rPr>
                <w:rFonts w:ascii="仿宋" w:eastAsia="仿宋" w:hAnsi="仿宋" w:cs="宋体" w:hint="eastAsia"/>
                <w:szCs w:val="24"/>
              </w:rPr>
              <w:t>9、</w:t>
            </w:r>
            <w:r w:rsidR="00C551DA" w:rsidRPr="005844D2">
              <w:rPr>
                <w:rFonts w:ascii="仿宋" w:eastAsia="仿宋" w:hAnsi="仿宋" w:cs="宋体" w:hint="eastAsia"/>
                <w:szCs w:val="24"/>
              </w:rPr>
              <w:t>[美]托马斯·彼得斯等著：《追求卓越》中央编译出版社，2000年6月</w:t>
            </w:r>
          </w:p>
          <w:p w:rsidR="00C551DA" w:rsidRPr="00C551DA" w:rsidRDefault="005844D2" w:rsidP="009D42D9">
            <w:pPr>
              <w:pStyle w:val="ab"/>
              <w:spacing w:line="360" w:lineRule="auto"/>
              <w:ind w:firstLine="482"/>
              <w:rPr>
                <w:rFonts w:ascii="仿宋" w:eastAsia="仿宋" w:hAnsi="仿宋" w:cs="宋体"/>
                <w:szCs w:val="24"/>
              </w:rPr>
            </w:pPr>
            <w:r w:rsidRPr="005844D2">
              <w:rPr>
                <w:rFonts w:ascii="仿宋" w:eastAsia="仿宋" w:hAnsi="仿宋" w:cs="宋体" w:hint="eastAsia"/>
                <w:szCs w:val="24"/>
              </w:rPr>
              <w:t>10、</w:t>
            </w:r>
            <w:r w:rsidR="00C551DA" w:rsidRPr="005844D2">
              <w:rPr>
                <w:rFonts w:ascii="仿宋" w:eastAsia="仿宋" w:hAnsi="仿宋" w:cs="宋体" w:hint="eastAsia"/>
                <w:szCs w:val="24"/>
              </w:rPr>
              <w:t>[美]本·M·恩尼斯等著：《营销学经典》东北财经大学出版社，2000年11月</w:t>
            </w:r>
          </w:p>
          <w:p w:rsidR="00C551DA" w:rsidRPr="005844D2" w:rsidRDefault="009D42D9" w:rsidP="00C551DA">
            <w:pPr>
              <w:pStyle w:val="ab"/>
              <w:spacing w:line="360" w:lineRule="auto"/>
              <w:ind w:firstLine="482"/>
              <w:rPr>
                <w:rFonts w:ascii="仿宋" w:eastAsia="仿宋" w:hAnsi="仿宋" w:cs="宋体"/>
                <w:szCs w:val="24"/>
              </w:rPr>
            </w:pPr>
            <w:r>
              <w:rPr>
                <w:rFonts w:ascii="仿宋" w:eastAsia="仿宋" w:hAnsi="仿宋" w:cs="宋体" w:hint="eastAsia"/>
                <w:szCs w:val="24"/>
              </w:rPr>
              <w:lastRenderedPageBreak/>
              <w:t>11</w:t>
            </w:r>
            <w:r w:rsidR="005844D2" w:rsidRPr="005844D2">
              <w:rPr>
                <w:rFonts w:ascii="仿宋" w:eastAsia="仿宋" w:hAnsi="仿宋" w:cs="宋体" w:hint="eastAsia"/>
                <w:szCs w:val="24"/>
              </w:rPr>
              <w:t>、</w:t>
            </w:r>
            <w:r w:rsidR="00C551DA" w:rsidRPr="005844D2">
              <w:rPr>
                <w:rFonts w:ascii="仿宋" w:eastAsia="仿宋" w:hAnsi="仿宋" w:cs="宋体" w:hint="eastAsia"/>
                <w:szCs w:val="24"/>
              </w:rPr>
              <w:t>[美]詹姆斯R.麦圭根等著：《管理经济学 应用、战略与策略》机械工业出版社，2000年10月</w:t>
            </w:r>
          </w:p>
          <w:p w:rsidR="00C551DA" w:rsidRPr="005844D2" w:rsidRDefault="009D42D9" w:rsidP="00C551DA">
            <w:pPr>
              <w:pStyle w:val="ab"/>
              <w:spacing w:line="360" w:lineRule="auto"/>
              <w:ind w:firstLine="482"/>
              <w:rPr>
                <w:rFonts w:ascii="仿宋" w:eastAsia="仿宋" w:hAnsi="仿宋" w:cs="宋体"/>
                <w:szCs w:val="24"/>
              </w:rPr>
            </w:pPr>
            <w:r>
              <w:rPr>
                <w:rFonts w:ascii="仿宋" w:eastAsia="仿宋" w:hAnsi="仿宋" w:cs="宋体" w:hint="eastAsia"/>
                <w:szCs w:val="24"/>
              </w:rPr>
              <w:t>12</w:t>
            </w:r>
            <w:r w:rsidR="005844D2" w:rsidRPr="005844D2">
              <w:rPr>
                <w:rFonts w:ascii="仿宋" w:eastAsia="仿宋" w:hAnsi="仿宋" w:cs="宋体" w:hint="eastAsia"/>
                <w:szCs w:val="24"/>
              </w:rPr>
              <w:t>、</w:t>
            </w:r>
            <w:r w:rsidR="00C551DA" w:rsidRPr="005844D2">
              <w:rPr>
                <w:rFonts w:ascii="仿宋" w:eastAsia="仿宋" w:hAnsi="仿宋" w:cs="宋体" w:hint="eastAsia"/>
                <w:szCs w:val="24"/>
              </w:rPr>
              <w:t>Gary P&amp;#8226;Schneider 成栋 译：《电子商务》机械工业出版社，2000年9</w:t>
            </w:r>
          </w:p>
          <w:p w:rsidR="00C551DA" w:rsidRPr="003C29CD" w:rsidRDefault="002918C9" w:rsidP="00C551DA">
            <w:pPr>
              <w:ind w:firstLineChars="200" w:firstLine="420"/>
            </w:pPr>
            <w:r>
              <w:rPr>
                <w:rFonts w:ascii="仿宋" w:eastAsia="仿宋" w:hAnsi="仿宋" w:cs="宋体" w:hint="eastAsia"/>
                <w:szCs w:val="24"/>
              </w:rPr>
              <w:t>13</w:t>
            </w:r>
            <w:r w:rsidR="005844D2" w:rsidRPr="005844D2">
              <w:rPr>
                <w:rFonts w:ascii="仿宋" w:eastAsia="仿宋" w:hAnsi="仿宋" w:cs="宋体" w:hint="eastAsia"/>
                <w:szCs w:val="24"/>
              </w:rPr>
              <w:t>、</w:t>
            </w:r>
            <w:r w:rsidR="00C551DA" w:rsidRPr="005844D2">
              <w:rPr>
                <w:rFonts w:ascii="仿宋" w:eastAsia="仿宋" w:hAnsi="仿宋" w:cs="宋体" w:hint="eastAsia"/>
                <w:sz w:val="24"/>
                <w:szCs w:val="24"/>
              </w:rPr>
              <w:t>小卡尔.麦克丹尼尔（Carl McDaniel, Jr）、罗杰.盖兹（Roger Gates）等著，《当代市场调研》第4版，机械工业出版社，2000年</w:t>
            </w:r>
          </w:p>
          <w:p w:rsidR="00C551DA" w:rsidRPr="005844D2" w:rsidRDefault="009D42D9" w:rsidP="00C551DA">
            <w:pPr>
              <w:pStyle w:val="ab"/>
              <w:spacing w:line="360" w:lineRule="auto"/>
              <w:ind w:firstLine="482"/>
              <w:rPr>
                <w:rFonts w:ascii="仿宋" w:eastAsia="仿宋" w:hAnsi="仿宋" w:cs="宋体"/>
                <w:szCs w:val="24"/>
              </w:rPr>
            </w:pPr>
            <w:r>
              <w:rPr>
                <w:rFonts w:ascii="仿宋" w:eastAsia="仿宋" w:hAnsi="仿宋" w:cs="宋体" w:hint="eastAsia"/>
                <w:szCs w:val="24"/>
              </w:rPr>
              <w:t>14</w:t>
            </w:r>
            <w:r w:rsidR="005844D2" w:rsidRPr="005844D2">
              <w:rPr>
                <w:rFonts w:ascii="仿宋" w:eastAsia="仿宋" w:hAnsi="仿宋" w:cs="宋体" w:hint="eastAsia"/>
                <w:szCs w:val="24"/>
              </w:rPr>
              <w:t>、</w:t>
            </w:r>
            <w:r w:rsidR="00C551DA" w:rsidRPr="005844D2">
              <w:rPr>
                <w:rFonts w:ascii="仿宋" w:eastAsia="仿宋" w:hAnsi="仿宋" w:cs="宋体" w:hint="eastAsia"/>
                <w:szCs w:val="24"/>
              </w:rPr>
              <w:t>Richard A . Johnson , Dean W. Wichern著：《实用多元统计分析》第4版，清华大学出版社，2001年</w:t>
            </w:r>
          </w:p>
          <w:p w:rsidR="00C551DA" w:rsidRPr="005844D2" w:rsidRDefault="009D42D9" w:rsidP="00C551DA">
            <w:pPr>
              <w:pStyle w:val="ab"/>
              <w:spacing w:line="360" w:lineRule="auto"/>
              <w:ind w:firstLine="482"/>
              <w:rPr>
                <w:rFonts w:ascii="仿宋" w:eastAsia="仿宋" w:hAnsi="仿宋" w:cs="宋体"/>
                <w:szCs w:val="24"/>
              </w:rPr>
            </w:pPr>
            <w:r>
              <w:rPr>
                <w:rFonts w:ascii="仿宋" w:eastAsia="仿宋" w:hAnsi="仿宋" w:cs="宋体" w:hint="eastAsia"/>
                <w:szCs w:val="24"/>
              </w:rPr>
              <w:t>15</w:t>
            </w:r>
            <w:r w:rsidR="005844D2" w:rsidRPr="005844D2">
              <w:rPr>
                <w:rFonts w:ascii="仿宋" w:eastAsia="仿宋" w:hAnsi="仿宋" w:cs="宋体" w:hint="eastAsia"/>
                <w:szCs w:val="24"/>
              </w:rPr>
              <w:t>、</w:t>
            </w:r>
            <w:r w:rsidR="00C551DA" w:rsidRPr="005844D2">
              <w:rPr>
                <w:rFonts w:ascii="仿宋" w:eastAsia="仿宋" w:hAnsi="仿宋" w:cs="宋体" w:hint="eastAsia"/>
                <w:szCs w:val="24"/>
              </w:rPr>
              <w:t>[美]沃德&amp;#8226;汉森著：《网络营销原》华夏出版社，2001年10月</w:t>
            </w:r>
          </w:p>
          <w:p w:rsidR="00C551DA" w:rsidRPr="005844D2" w:rsidRDefault="009D42D9" w:rsidP="00C551DA">
            <w:pPr>
              <w:pStyle w:val="ab"/>
              <w:spacing w:line="360" w:lineRule="auto"/>
              <w:ind w:firstLine="482"/>
              <w:rPr>
                <w:rFonts w:ascii="仿宋" w:eastAsia="仿宋" w:hAnsi="仿宋" w:cs="宋体"/>
                <w:szCs w:val="24"/>
              </w:rPr>
            </w:pPr>
            <w:r>
              <w:rPr>
                <w:rFonts w:ascii="仿宋" w:eastAsia="仿宋" w:hAnsi="仿宋" w:cs="宋体" w:hint="eastAsia"/>
                <w:szCs w:val="24"/>
              </w:rPr>
              <w:t>16</w:t>
            </w:r>
            <w:r w:rsidR="005844D2" w:rsidRPr="005844D2">
              <w:rPr>
                <w:rFonts w:ascii="仿宋" w:eastAsia="仿宋" w:hAnsi="仿宋" w:cs="宋体" w:hint="eastAsia"/>
                <w:szCs w:val="24"/>
              </w:rPr>
              <w:t>、</w:t>
            </w:r>
            <w:r w:rsidR="00C551DA" w:rsidRPr="005844D2">
              <w:rPr>
                <w:rFonts w:ascii="仿宋" w:eastAsia="仿宋" w:hAnsi="仿宋" w:cs="宋体" w:hint="eastAsia"/>
                <w:szCs w:val="24"/>
              </w:rPr>
              <w:t>[美] 罗纳德·S·史威福特著：《客户关系管理》中国经济出版社，2001年3月；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17</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[美]弗雷德.R.戴维：《战略管理》，第八版，经济科学出版社，2001年10月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18</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[美]亨利·明茨伯格等著：《战略历程》机械工业出版社，2002年4月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19</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[美]詹姆斯·柯林斯等著：《基业长青》中信出版社，2002年5月</w:t>
            </w:r>
          </w:p>
          <w:p w:rsidR="005844D2" w:rsidRPr="005844D2" w:rsidRDefault="009D42D9" w:rsidP="0071466A">
            <w:pPr>
              <w:pStyle w:val="ab"/>
              <w:spacing w:line="360" w:lineRule="auto"/>
              <w:ind w:firstLineChars="200" w:firstLine="480"/>
              <w:rPr>
                <w:rFonts w:ascii="仿宋" w:eastAsia="仿宋" w:hAnsi="仿宋" w:cs="宋体"/>
                <w:szCs w:val="24"/>
              </w:rPr>
            </w:pPr>
            <w:r>
              <w:rPr>
                <w:rFonts w:ascii="仿宋" w:eastAsia="仿宋" w:hAnsi="仿宋" w:cs="宋体" w:hint="eastAsia"/>
                <w:szCs w:val="24"/>
              </w:rPr>
              <w:t>20</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[美]科特勒著：《科特勒谈营销》浙江人民出版社，2002年10月；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21</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[美]H.克雷格.彼得森等著：《管理经济学》，中国人民大学出版社，2003年7月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22</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[美]唐纳德·勒曼等著：《营销分析实务》企业管理出版社，2004年4月；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23</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[美]萨布哈什·C·杰恩著：《市场营销策划与战略》中信出版社，2004年4月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24</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[美] Horngren、Foster、Datar著：《成本会计》10th Edition 清华大学出版社出版</w:t>
            </w:r>
          </w:p>
          <w:p w:rsidR="005844D2" w:rsidRPr="005844D2" w:rsidRDefault="009D42D9" w:rsidP="0071466A">
            <w:pPr>
              <w:pStyle w:val="ab"/>
              <w:spacing w:line="360" w:lineRule="auto"/>
              <w:ind w:firstLineChars="200" w:firstLine="480"/>
              <w:rPr>
                <w:rFonts w:ascii="仿宋" w:eastAsia="仿宋" w:hAnsi="仿宋" w:cs="宋体"/>
                <w:szCs w:val="24"/>
              </w:rPr>
            </w:pPr>
            <w:r>
              <w:rPr>
                <w:rFonts w:ascii="仿宋" w:eastAsia="仿宋" w:hAnsi="仿宋" w:cs="宋体" w:hint="eastAsia"/>
                <w:szCs w:val="24"/>
              </w:rPr>
              <w:t>25</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《高级管理会计》[美] 卡普兰、阿特金森著 东北财经大学出版社出版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lastRenderedPageBreak/>
              <w:t>26</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《价值链管理》[美] 鲍德温、克拉克等著 中国人民大学出版社、哈佛大学出版社出版</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27</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菲利普·科特勒著：《营销管理》，新千年版·第十版，中国人民大学出版社</w:t>
            </w:r>
          </w:p>
          <w:p w:rsidR="0071466A" w:rsidRPr="005844D2" w:rsidRDefault="009D42D9" w:rsidP="0071466A">
            <w:pPr>
              <w:pStyle w:val="ab"/>
              <w:spacing w:line="360" w:lineRule="auto"/>
              <w:ind w:firstLine="482"/>
              <w:rPr>
                <w:rFonts w:ascii="仿宋" w:eastAsia="仿宋" w:hAnsi="仿宋" w:cs="宋体"/>
                <w:szCs w:val="24"/>
              </w:rPr>
            </w:pPr>
            <w:r>
              <w:rPr>
                <w:rFonts w:ascii="仿宋" w:eastAsia="仿宋" w:hAnsi="仿宋" w:cs="宋体" w:hint="eastAsia"/>
                <w:szCs w:val="24"/>
              </w:rPr>
              <w:t>28</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O. Hart, 1995. Firms, Contracts，and Financial Structure. Oxford University Press: London.</w:t>
            </w:r>
          </w:p>
          <w:p w:rsidR="005844D2" w:rsidRPr="005844D2"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29</w:t>
            </w:r>
            <w:r w:rsidR="005844D2" w:rsidRPr="005844D2">
              <w:rPr>
                <w:rFonts w:ascii="仿宋" w:eastAsia="仿宋" w:hAnsi="仿宋" w:cs="宋体" w:hint="eastAsia"/>
                <w:szCs w:val="24"/>
              </w:rPr>
              <w:t>、</w:t>
            </w:r>
            <w:r w:rsidR="0071466A" w:rsidRPr="005844D2">
              <w:rPr>
                <w:rFonts w:ascii="仿宋" w:eastAsia="仿宋" w:hAnsi="仿宋" w:cs="宋体" w:hint="eastAsia"/>
                <w:szCs w:val="24"/>
              </w:rPr>
              <w:t>Williamson, O.:  The Mechanisms of Governance, Oxford University Press. 1996.</w:t>
            </w:r>
          </w:p>
          <w:p w:rsidR="009D42D9" w:rsidRPr="005844D2"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30</w:t>
            </w:r>
            <w:r w:rsidR="005844D2" w:rsidRPr="005844D2">
              <w:rPr>
                <w:rFonts w:ascii="仿宋" w:eastAsia="仿宋" w:hAnsi="仿宋" w:cs="宋体" w:hint="eastAsia"/>
                <w:szCs w:val="24"/>
              </w:rPr>
              <w:t>、</w:t>
            </w:r>
            <w:r w:rsidRPr="005844D2">
              <w:rPr>
                <w:rFonts w:ascii="仿宋" w:eastAsia="仿宋" w:hAnsi="仿宋" w:cs="宋体" w:hint="eastAsia"/>
                <w:szCs w:val="24"/>
              </w:rPr>
              <w:t>Jay Heizer,《运作管理》（英文影印），清华大学出版社。2001年9月</w:t>
            </w:r>
          </w:p>
          <w:p w:rsidR="009D42D9" w:rsidRPr="005844D2"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31</w:t>
            </w:r>
            <w:r w:rsidR="005844D2" w:rsidRPr="005844D2">
              <w:rPr>
                <w:rFonts w:ascii="仿宋" w:eastAsia="仿宋" w:hAnsi="仿宋" w:cs="宋体" w:hint="eastAsia"/>
                <w:szCs w:val="24"/>
              </w:rPr>
              <w:t>、</w:t>
            </w:r>
            <w:r w:rsidRPr="005844D2">
              <w:rPr>
                <w:rFonts w:ascii="仿宋" w:eastAsia="仿宋" w:hAnsi="仿宋" w:cs="宋体" w:hint="eastAsia"/>
                <w:szCs w:val="24"/>
              </w:rPr>
              <w:t>Christopher lovelock,《服务营销：人员、技术与策略》（英文影印），清华大学出版社。2001年9月</w:t>
            </w:r>
          </w:p>
          <w:p w:rsidR="002C5B56" w:rsidRPr="009D42D9"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32</w:t>
            </w:r>
            <w:r w:rsidR="005844D2" w:rsidRPr="005844D2">
              <w:rPr>
                <w:rFonts w:ascii="仿宋" w:eastAsia="仿宋" w:hAnsi="仿宋" w:cs="宋体" w:hint="eastAsia"/>
                <w:szCs w:val="24"/>
              </w:rPr>
              <w:t>、</w:t>
            </w:r>
            <w:r w:rsidRPr="005844D2">
              <w:rPr>
                <w:rFonts w:ascii="仿宋" w:eastAsia="仿宋" w:hAnsi="仿宋" w:cs="宋体" w:hint="eastAsia"/>
                <w:szCs w:val="24"/>
              </w:rPr>
              <w:t>《Advanced Management Accounting》2rd Edition  [美] Hirsch, Jr. 著 Thomson Leaning 出版</w:t>
            </w:r>
          </w:p>
          <w:p w:rsidR="009D42D9" w:rsidRPr="005844D2"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33、</w:t>
            </w:r>
            <w:r w:rsidRPr="005844D2">
              <w:rPr>
                <w:rFonts w:ascii="仿宋" w:eastAsia="仿宋" w:hAnsi="仿宋" w:cs="宋体" w:hint="eastAsia"/>
                <w:szCs w:val="24"/>
              </w:rPr>
              <w:t>《Advanced Financial Accounting》5th Edition [英] Lewis、Pendrill 著 Pitmen Publishing 出版</w:t>
            </w:r>
          </w:p>
          <w:p w:rsidR="009D42D9" w:rsidRDefault="009D42D9" w:rsidP="009D42D9">
            <w:pPr>
              <w:pStyle w:val="ab"/>
              <w:spacing w:line="360" w:lineRule="auto"/>
              <w:ind w:firstLine="482"/>
              <w:rPr>
                <w:rFonts w:ascii="仿宋" w:eastAsia="仿宋" w:hAnsi="仿宋" w:cs="宋体"/>
                <w:szCs w:val="24"/>
              </w:rPr>
            </w:pPr>
            <w:r>
              <w:rPr>
                <w:rFonts w:ascii="仿宋" w:eastAsia="仿宋" w:hAnsi="仿宋" w:cs="宋体" w:hint="eastAsia"/>
                <w:szCs w:val="24"/>
              </w:rPr>
              <w:t>34、</w:t>
            </w:r>
            <w:r w:rsidRPr="006C62C0">
              <w:rPr>
                <w:rFonts w:ascii="仿宋" w:eastAsia="仿宋" w:hAnsi="仿宋" w:cs="宋体" w:hint="eastAsia"/>
                <w:szCs w:val="24"/>
              </w:rPr>
              <w:t>布莱尔·M：《所有权与控制：面向21世纪的公司治理探索》，中国社会科学出版社1999年8月第</w:t>
            </w:r>
            <w:r w:rsidRPr="002817CD">
              <w:rPr>
                <w:rFonts w:ascii="仿宋" w:eastAsia="仿宋" w:hAnsi="仿宋" w:cs="宋体" w:hint="eastAsia"/>
                <w:szCs w:val="24"/>
              </w:rPr>
              <w:t>1版。</w:t>
            </w:r>
          </w:p>
          <w:p w:rsidR="003F6283" w:rsidRPr="009D42D9" w:rsidRDefault="003F6283" w:rsidP="003F6283">
            <w:pPr>
              <w:pStyle w:val="ab"/>
              <w:spacing w:line="360" w:lineRule="auto"/>
              <w:rPr>
                <w:rFonts w:ascii="仿宋" w:eastAsia="仿宋" w:hAnsi="仿宋" w:cs="宋体"/>
                <w:szCs w:val="24"/>
              </w:rPr>
            </w:pPr>
            <w:r>
              <w:rPr>
                <w:rFonts w:ascii="仿宋" w:eastAsia="仿宋" w:hAnsi="仿宋" w:hint="eastAsia"/>
                <w:szCs w:val="24"/>
              </w:rPr>
              <w:t>（备注：参考文献顺序按照中文、外文；原著、译著；出版时间先后排序）</w:t>
            </w:r>
          </w:p>
        </w:tc>
      </w:tr>
    </w:tbl>
    <w:p w:rsidR="00E330ED" w:rsidRDefault="00E330ED"/>
    <w:p w:rsidR="00900C2D" w:rsidRDefault="00900C2D"/>
    <w:p w:rsidR="00900C2D" w:rsidRDefault="00900C2D"/>
    <w:p w:rsidR="00900C2D" w:rsidRDefault="00900C2D"/>
    <w:p w:rsidR="00900C2D" w:rsidRPr="003E5751" w:rsidRDefault="00900C2D" w:rsidP="00900C2D">
      <w:pPr>
        <w:pStyle w:val="a9"/>
        <w:wordWrap w:val="0"/>
        <w:jc w:val="right"/>
        <w:rPr>
          <w:rFonts w:eastAsia="仿宋"/>
          <w:sz w:val="28"/>
          <w:szCs w:val="28"/>
        </w:rPr>
      </w:pPr>
      <w:r>
        <w:rPr>
          <w:rFonts w:hint="eastAsia"/>
        </w:rPr>
        <w:t xml:space="preserve">                                     </w:t>
      </w:r>
      <w:r w:rsidRPr="003E5751">
        <w:rPr>
          <w:rFonts w:eastAsia="仿宋"/>
          <w:sz w:val="28"/>
          <w:szCs w:val="28"/>
        </w:rPr>
        <w:t>学位评定分委员会</w:t>
      </w:r>
      <w:r w:rsidRPr="003E5751">
        <w:rPr>
          <w:rFonts w:eastAsia="仿宋" w:hint="eastAsia"/>
          <w:sz w:val="28"/>
          <w:szCs w:val="28"/>
        </w:rPr>
        <w:t>主席</w:t>
      </w:r>
      <w:r w:rsidRPr="003E5751">
        <w:rPr>
          <w:rFonts w:eastAsia="仿宋"/>
          <w:sz w:val="28"/>
          <w:szCs w:val="28"/>
        </w:rPr>
        <w:t>签字：</w:t>
      </w:r>
    </w:p>
    <w:p w:rsidR="00900C2D" w:rsidRDefault="00900C2D" w:rsidP="00900C2D">
      <w:pPr>
        <w:pStyle w:val="a9"/>
        <w:jc w:val="right"/>
        <w:rPr>
          <w:rFonts w:eastAsia="仿宋"/>
          <w:sz w:val="28"/>
          <w:szCs w:val="28"/>
        </w:rPr>
      </w:pPr>
      <w:r w:rsidRPr="003E5751">
        <w:rPr>
          <w:rFonts w:eastAsia="仿宋"/>
          <w:sz w:val="28"/>
          <w:szCs w:val="28"/>
        </w:rPr>
        <w:t>年</w:t>
      </w:r>
      <w:r w:rsidRPr="003E5751">
        <w:rPr>
          <w:rFonts w:eastAsia="仿宋" w:hint="eastAsia"/>
          <w:sz w:val="28"/>
          <w:szCs w:val="28"/>
        </w:rPr>
        <w:t xml:space="preserve">  </w:t>
      </w:r>
      <w:r w:rsidRPr="003E5751">
        <w:rPr>
          <w:rFonts w:eastAsia="仿宋"/>
          <w:sz w:val="28"/>
          <w:szCs w:val="28"/>
        </w:rPr>
        <w:t>月</w:t>
      </w:r>
      <w:r w:rsidRPr="003E5751">
        <w:rPr>
          <w:rFonts w:eastAsia="仿宋" w:hint="eastAsia"/>
          <w:sz w:val="28"/>
          <w:szCs w:val="28"/>
        </w:rPr>
        <w:t xml:space="preserve">  </w:t>
      </w:r>
      <w:r w:rsidRPr="003E5751">
        <w:rPr>
          <w:rFonts w:eastAsia="仿宋"/>
          <w:sz w:val="28"/>
          <w:szCs w:val="28"/>
        </w:rPr>
        <w:t>日</w:t>
      </w: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p>
    <w:p w:rsidR="00864A0F" w:rsidRDefault="00864A0F" w:rsidP="00606E86">
      <w:pPr>
        <w:pStyle w:val="a9"/>
        <w:ind w:right="560" w:firstLine="0"/>
        <w:rPr>
          <w:rFonts w:eastAsia="仿宋"/>
          <w:szCs w:val="24"/>
        </w:rPr>
      </w:pPr>
      <w:r w:rsidRPr="00864A0F">
        <w:rPr>
          <w:rFonts w:ascii="黑体" w:eastAsia="黑体" w:hAnsi="黑体" w:hint="eastAsia"/>
          <w:szCs w:val="24"/>
        </w:rPr>
        <w:t>五、课程设置</w:t>
      </w:r>
    </w:p>
    <w:p w:rsidR="00864A0F" w:rsidRDefault="00864A0F" w:rsidP="00606E86">
      <w:pPr>
        <w:pStyle w:val="a9"/>
        <w:ind w:right="560" w:firstLine="0"/>
        <w:rPr>
          <w:rFonts w:eastAsia="仿宋"/>
          <w:szCs w:val="24"/>
        </w:rPr>
      </w:pPr>
    </w:p>
    <w:p w:rsidR="00606E86" w:rsidRDefault="00606E86" w:rsidP="00606E86">
      <w:pPr>
        <w:pStyle w:val="a9"/>
        <w:ind w:right="560" w:firstLine="0"/>
        <w:rPr>
          <w:rFonts w:eastAsia="仿宋"/>
          <w:szCs w:val="24"/>
        </w:rPr>
      </w:pPr>
      <w:r w:rsidRPr="00606E86">
        <w:rPr>
          <w:rFonts w:eastAsia="仿宋" w:hint="eastAsia"/>
          <w:szCs w:val="24"/>
        </w:rPr>
        <w:t>附表：</w:t>
      </w:r>
    </w:p>
    <w:p w:rsidR="00606E86" w:rsidRDefault="00606E86" w:rsidP="00606E86">
      <w:pPr>
        <w:pStyle w:val="a9"/>
        <w:ind w:right="560" w:firstLine="0"/>
        <w:rPr>
          <w:rFonts w:eastAsia="仿宋"/>
          <w:szCs w:val="24"/>
        </w:rPr>
      </w:pPr>
    </w:p>
    <w:p w:rsidR="00606E86" w:rsidRDefault="00606E86" w:rsidP="00606E86">
      <w:pPr>
        <w:pStyle w:val="a9"/>
        <w:ind w:right="560" w:firstLine="0"/>
        <w:rPr>
          <w:rFonts w:eastAsia="仿宋"/>
          <w:iCs/>
          <w:szCs w:val="24"/>
        </w:rPr>
      </w:pPr>
      <w:r w:rsidRPr="00606E86">
        <w:rPr>
          <w:rFonts w:eastAsia="仿宋" w:hint="eastAsia"/>
          <w:szCs w:val="24"/>
        </w:rPr>
        <w:t>MBA</w:t>
      </w:r>
      <w:r w:rsidRPr="00606E86">
        <w:rPr>
          <w:rFonts w:eastAsia="仿宋" w:hint="eastAsia"/>
          <w:szCs w:val="24"/>
        </w:rPr>
        <w:t>专业硕士研究生培养实行学分制，总学分不少于</w:t>
      </w:r>
      <w:r w:rsidRPr="00606E86">
        <w:rPr>
          <w:rFonts w:eastAsia="仿宋" w:hint="eastAsia"/>
          <w:iCs/>
          <w:szCs w:val="24"/>
        </w:rPr>
        <w:t>45</w:t>
      </w:r>
      <w:r w:rsidRPr="00606E86">
        <w:rPr>
          <w:rFonts w:eastAsia="仿宋" w:hint="eastAsia"/>
          <w:szCs w:val="24"/>
        </w:rPr>
        <w:t>学分，其中专业必修课</w:t>
      </w:r>
      <w:r w:rsidRPr="00606E86">
        <w:rPr>
          <w:rFonts w:eastAsia="仿宋" w:hint="eastAsia"/>
          <w:szCs w:val="24"/>
        </w:rPr>
        <w:t>24</w:t>
      </w:r>
      <w:r w:rsidRPr="00606E86">
        <w:rPr>
          <w:rFonts w:eastAsia="仿宋" w:hint="eastAsia"/>
          <w:szCs w:val="24"/>
        </w:rPr>
        <w:t>学分，专业选修课总学分不少于</w:t>
      </w:r>
      <w:r w:rsidRPr="00606E86">
        <w:rPr>
          <w:rFonts w:eastAsia="仿宋" w:hint="eastAsia"/>
          <w:szCs w:val="24"/>
        </w:rPr>
        <w:t>6</w:t>
      </w:r>
      <w:r w:rsidRPr="00606E86">
        <w:rPr>
          <w:rFonts w:eastAsia="仿宋" w:hint="eastAsia"/>
          <w:szCs w:val="24"/>
        </w:rPr>
        <w:t>学分，法学选修课不少于</w:t>
      </w:r>
      <w:r w:rsidRPr="00606E86">
        <w:rPr>
          <w:rFonts w:eastAsia="仿宋" w:hint="eastAsia"/>
          <w:szCs w:val="24"/>
        </w:rPr>
        <w:t>6</w:t>
      </w:r>
      <w:r w:rsidRPr="00606E86">
        <w:rPr>
          <w:rFonts w:eastAsia="仿宋" w:hint="eastAsia"/>
          <w:szCs w:val="24"/>
        </w:rPr>
        <w:t>学分，法商管理案例研讨课不少于</w:t>
      </w:r>
      <w:r w:rsidRPr="00606E86">
        <w:rPr>
          <w:rFonts w:eastAsia="仿宋" w:hint="eastAsia"/>
          <w:szCs w:val="24"/>
        </w:rPr>
        <w:t>3</w:t>
      </w:r>
      <w:r w:rsidRPr="00606E86">
        <w:rPr>
          <w:rFonts w:eastAsia="仿宋" w:hint="eastAsia"/>
          <w:szCs w:val="24"/>
        </w:rPr>
        <w:t>学分，专题讲座</w:t>
      </w:r>
      <w:r w:rsidRPr="00606E86">
        <w:rPr>
          <w:rFonts w:eastAsia="仿宋" w:hint="eastAsia"/>
          <w:szCs w:val="24"/>
        </w:rPr>
        <w:t>2</w:t>
      </w:r>
      <w:r w:rsidRPr="00606E86">
        <w:rPr>
          <w:rFonts w:eastAsia="仿宋" w:hint="eastAsia"/>
          <w:szCs w:val="24"/>
        </w:rPr>
        <w:t>学分（含企业社会责任和商业伦理课程），社会实践</w:t>
      </w:r>
      <w:r w:rsidRPr="00606E86">
        <w:rPr>
          <w:rFonts w:eastAsia="仿宋" w:hint="eastAsia"/>
          <w:szCs w:val="24"/>
        </w:rPr>
        <w:t>2</w:t>
      </w:r>
      <w:r w:rsidRPr="00606E86">
        <w:rPr>
          <w:rFonts w:eastAsia="仿宋" w:hint="eastAsia"/>
          <w:szCs w:val="24"/>
        </w:rPr>
        <w:t>学分</w:t>
      </w:r>
      <w:r w:rsidRPr="00606E86">
        <w:rPr>
          <w:rFonts w:eastAsia="仿宋" w:hint="eastAsia"/>
          <w:iCs/>
          <w:szCs w:val="24"/>
        </w:rPr>
        <w:t>。</w:t>
      </w:r>
    </w:p>
    <w:p w:rsidR="00606E86" w:rsidRPr="00606E86" w:rsidRDefault="00606E86" w:rsidP="00606E86">
      <w:pPr>
        <w:pStyle w:val="a9"/>
        <w:ind w:right="560" w:firstLine="0"/>
        <w:rPr>
          <w:rFonts w:eastAsia="仿宋"/>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737"/>
        <w:gridCol w:w="2552"/>
        <w:gridCol w:w="708"/>
        <w:gridCol w:w="709"/>
        <w:gridCol w:w="1647"/>
      </w:tblGrid>
      <w:tr w:rsidR="00606E86" w:rsidRPr="00606E86" w:rsidTr="0071466A">
        <w:trPr>
          <w:trHeight w:val="502"/>
          <w:jc w:val="center"/>
        </w:trPr>
        <w:tc>
          <w:tcPr>
            <w:tcW w:w="1083"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课程类别</w:t>
            </w:r>
          </w:p>
        </w:tc>
        <w:tc>
          <w:tcPr>
            <w:tcW w:w="3289" w:type="dxa"/>
            <w:gridSpan w:val="2"/>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课  程  名  称</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学时</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学分</w:t>
            </w:r>
          </w:p>
        </w:tc>
        <w:tc>
          <w:tcPr>
            <w:tcW w:w="1647"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备注</w:t>
            </w:r>
          </w:p>
        </w:tc>
      </w:tr>
      <w:tr w:rsidR="00606E86" w:rsidRPr="00606E86" w:rsidTr="0071466A">
        <w:trPr>
          <w:trHeight w:val="375"/>
          <w:jc w:val="center"/>
        </w:trPr>
        <w:tc>
          <w:tcPr>
            <w:tcW w:w="1083"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专业</w:t>
            </w:r>
          </w:p>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核心课</w:t>
            </w: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社会主义经济理论与实践</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共24学分</w:t>
            </w: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商务英语</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72</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4</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管理经济学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市场营销</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人力资源管理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战略管理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会计学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财务管理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信息系统与信息资源管理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组织行为学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375"/>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数据、模型与决策</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41"/>
          <w:jc w:val="center"/>
        </w:trPr>
        <w:tc>
          <w:tcPr>
            <w:tcW w:w="1083" w:type="dxa"/>
            <w:vMerge w:val="restart"/>
            <w:vAlign w:val="center"/>
          </w:tcPr>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p>
          <w:p w:rsidR="00606E86" w:rsidRPr="00606E86" w:rsidRDefault="00606E86" w:rsidP="0071466A">
            <w:pPr>
              <w:pStyle w:val="aa"/>
              <w:jc w:val="both"/>
              <w:rPr>
                <w:rFonts w:ascii="仿宋" w:eastAsia="仿宋" w:hAnsi="仿宋"/>
                <w:sz w:val="24"/>
                <w:szCs w:val="24"/>
              </w:rPr>
            </w:pPr>
          </w:p>
          <w:p w:rsidR="00864A0F" w:rsidRDefault="00864A0F" w:rsidP="0071466A">
            <w:pPr>
              <w:pStyle w:val="aa"/>
              <w:rPr>
                <w:rFonts w:ascii="仿宋" w:eastAsia="仿宋" w:hAnsi="仿宋"/>
                <w:sz w:val="24"/>
                <w:szCs w:val="24"/>
              </w:rPr>
            </w:pPr>
          </w:p>
          <w:p w:rsidR="00864A0F" w:rsidRDefault="00864A0F" w:rsidP="0071466A">
            <w:pPr>
              <w:pStyle w:val="aa"/>
              <w:rPr>
                <w:rFonts w:ascii="仿宋" w:eastAsia="仿宋" w:hAnsi="仿宋"/>
                <w:sz w:val="24"/>
                <w:szCs w:val="24"/>
              </w:rPr>
            </w:pPr>
          </w:p>
          <w:p w:rsidR="00864A0F" w:rsidRDefault="00864A0F" w:rsidP="0071466A">
            <w:pPr>
              <w:pStyle w:val="aa"/>
              <w:rPr>
                <w:rFonts w:ascii="仿宋" w:eastAsia="仿宋" w:hAnsi="仿宋"/>
                <w:sz w:val="24"/>
                <w:szCs w:val="24"/>
              </w:rPr>
            </w:pPr>
          </w:p>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专业</w:t>
            </w:r>
          </w:p>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选修课</w:t>
            </w:r>
          </w:p>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lastRenderedPageBreak/>
              <w:t>企业变革与组织创新方向</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企业流程管理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至少修满6学分</w:t>
            </w:r>
          </w:p>
        </w:tc>
      </w:tr>
      <w:tr w:rsidR="00606E86" w:rsidRPr="00606E86" w:rsidTr="0071466A">
        <w:trPr>
          <w:trHeight w:val="241"/>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项目管理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93"/>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技术创新与知识产权管理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6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创业管理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57"/>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企业并购与重组-人文</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307"/>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无形资产价值分析</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2/1</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企业诊断与咨询</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领导力</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市场营销与现代流通方</w:t>
            </w:r>
            <w:r w:rsidRPr="00606E86">
              <w:rPr>
                <w:rFonts w:ascii="仿宋" w:eastAsia="仿宋" w:hAnsi="仿宋" w:hint="eastAsia"/>
                <w:sz w:val="24"/>
                <w:szCs w:val="24"/>
              </w:rPr>
              <w:lastRenderedPageBreak/>
              <w:t>向</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lastRenderedPageBreak/>
              <w:t>特许经营管理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2/1</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营销策划与模拟</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消费者行为学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客户关系管理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零售管理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商务谈判</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电子商务与网络营销</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供应链与物流管理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金融与财务管理方向</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金融理论及应用</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金融市场</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金融工程</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投资学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金融服务营销</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企业并购与重组-财务</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证券投资</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投资银行业务</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财务报表分析</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法务会计</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b/>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管理会计</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战略与国际企业管理方向</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企业国际化战略</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国际化经营管理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国际商务管理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国际市场营销</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企业海外法律风险及防范</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WTO法律制度</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企业法务管理方向</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企业法务管理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董事会的运作与管理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案件管理</w:t>
            </w:r>
          </w:p>
        </w:tc>
        <w:tc>
          <w:tcPr>
            <w:tcW w:w="708" w:type="dxa"/>
            <w:vAlign w:val="center"/>
          </w:tcPr>
          <w:p w:rsidR="00606E86" w:rsidRPr="00606E86" w:rsidRDefault="00606E86" w:rsidP="00606E86">
            <w:pPr>
              <w:pStyle w:val="aa"/>
              <w:ind w:firstLineChars="50" w:firstLine="120"/>
              <w:jc w:val="both"/>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企业法律风险管理</w:t>
            </w:r>
          </w:p>
        </w:tc>
        <w:tc>
          <w:tcPr>
            <w:tcW w:w="708" w:type="dxa"/>
            <w:vAlign w:val="center"/>
          </w:tcPr>
          <w:p w:rsidR="00606E86" w:rsidRPr="00606E86" w:rsidRDefault="00606E86" w:rsidP="00606E86">
            <w:pPr>
              <w:pStyle w:val="aa"/>
              <w:ind w:firstLineChars="50" w:firstLine="120"/>
              <w:jc w:val="both"/>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律所管理</w:t>
            </w:r>
          </w:p>
        </w:tc>
        <w:tc>
          <w:tcPr>
            <w:tcW w:w="708" w:type="dxa"/>
            <w:vAlign w:val="center"/>
          </w:tcPr>
          <w:p w:rsidR="00606E86" w:rsidRPr="00606E86" w:rsidRDefault="00606E86" w:rsidP="00606E86">
            <w:pPr>
              <w:pStyle w:val="aa"/>
              <w:ind w:firstLineChars="50" w:firstLine="120"/>
              <w:jc w:val="both"/>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重大法律项目管理</w:t>
            </w:r>
          </w:p>
        </w:tc>
        <w:tc>
          <w:tcPr>
            <w:tcW w:w="708" w:type="dxa"/>
            <w:vAlign w:val="center"/>
          </w:tcPr>
          <w:p w:rsidR="00606E86" w:rsidRPr="00606E86" w:rsidRDefault="00606E86" w:rsidP="00606E86">
            <w:pPr>
              <w:pStyle w:val="aa"/>
              <w:ind w:firstLineChars="50" w:firstLine="120"/>
              <w:jc w:val="both"/>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restart"/>
            <w:vAlign w:val="center"/>
          </w:tcPr>
          <w:p w:rsidR="00606E86" w:rsidRPr="00606E86" w:rsidRDefault="00606E86" w:rsidP="0071466A">
            <w:pPr>
              <w:pStyle w:val="a5"/>
              <w:rPr>
                <w:rFonts w:ascii="仿宋" w:eastAsia="仿宋" w:hAnsi="仿宋" w:cs="Times New Roman"/>
                <w:sz w:val="24"/>
                <w:szCs w:val="24"/>
              </w:rPr>
            </w:pPr>
            <w:r w:rsidRPr="00606E86">
              <w:rPr>
                <w:rFonts w:ascii="仿宋" w:eastAsia="仿宋" w:hAnsi="仿宋" w:cs="Times New Roman" w:hint="eastAsia"/>
                <w:sz w:val="24"/>
                <w:szCs w:val="24"/>
              </w:rPr>
              <w:t>体育产业经营管理</w:t>
            </w: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cs="宋体" w:hint="eastAsia"/>
                <w:sz w:val="24"/>
                <w:szCs w:val="24"/>
              </w:rPr>
              <w:t>体育经济管理与体育产业</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cs="宋体" w:hint="eastAsia"/>
                <w:sz w:val="24"/>
                <w:szCs w:val="24"/>
              </w:rPr>
              <w:t>体育运动与人格塑造</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cs="宋体" w:hint="eastAsia"/>
                <w:sz w:val="24"/>
                <w:szCs w:val="24"/>
              </w:rPr>
              <w:t>体育发展、需求与体育产业</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cs="宋体" w:hint="eastAsia"/>
                <w:sz w:val="24"/>
                <w:szCs w:val="24"/>
              </w:rPr>
              <w:t>大众体育健康干预</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hint="eastAsia"/>
                <w:color w:val="000000"/>
                <w:sz w:val="24"/>
                <w:szCs w:val="24"/>
              </w:rPr>
              <w:t>体育产业策划、推广和变革</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hint="eastAsia"/>
                <w:color w:val="000000"/>
                <w:sz w:val="24"/>
                <w:szCs w:val="24"/>
              </w:rPr>
              <w:t>体育设施和赞助商管理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hint="eastAsia"/>
                <w:color w:val="000000"/>
                <w:sz w:val="24"/>
                <w:szCs w:val="24"/>
              </w:rPr>
              <w:t>体育法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5"/>
              <w:rPr>
                <w:rFonts w:ascii="仿宋" w:eastAsia="仿宋" w:hAnsi="仿宋" w:cs="Times New Roman"/>
                <w:sz w:val="24"/>
                <w:szCs w:val="24"/>
              </w:rPr>
            </w:pPr>
          </w:p>
        </w:tc>
        <w:tc>
          <w:tcPr>
            <w:tcW w:w="737" w:type="dxa"/>
            <w:vMerge/>
            <w:vAlign w:val="center"/>
          </w:tcPr>
          <w:p w:rsidR="00606E86" w:rsidRPr="00606E86" w:rsidRDefault="00606E86" w:rsidP="0071466A">
            <w:pPr>
              <w:pStyle w:val="a5"/>
              <w:rPr>
                <w:rFonts w:ascii="仿宋" w:eastAsia="仿宋" w:hAnsi="仿宋" w:cs="Times New Roman"/>
                <w:sz w:val="24"/>
                <w:szCs w:val="24"/>
              </w:rPr>
            </w:pPr>
          </w:p>
        </w:tc>
        <w:tc>
          <w:tcPr>
            <w:tcW w:w="2552" w:type="dxa"/>
            <w:vAlign w:val="center"/>
          </w:tcPr>
          <w:p w:rsidR="00606E86" w:rsidRPr="00606E86" w:rsidRDefault="00606E86" w:rsidP="0071466A">
            <w:pPr>
              <w:pStyle w:val="aa"/>
              <w:spacing w:line="240" w:lineRule="auto"/>
              <w:jc w:val="both"/>
              <w:rPr>
                <w:rFonts w:ascii="仿宋" w:eastAsia="仿宋" w:hAnsi="仿宋" w:cs="宋体"/>
                <w:sz w:val="24"/>
                <w:szCs w:val="24"/>
              </w:rPr>
            </w:pPr>
            <w:r w:rsidRPr="00606E86">
              <w:rPr>
                <w:rFonts w:ascii="仿宋" w:eastAsia="仿宋" w:hAnsi="仿宋" w:hint="eastAsia"/>
                <w:color w:val="000000"/>
                <w:sz w:val="24"/>
                <w:szCs w:val="24"/>
              </w:rPr>
              <w:t>体育金融</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5"/>
              <w:jc w:val="center"/>
              <w:rPr>
                <w:rFonts w:ascii="仿宋" w:eastAsia="仿宋" w:hAnsi="仿宋" w:cs="Times New Roman"/>
                <w:sz w:val="24"/>
                <w:szCs w:val="24"/>
              </w:rPr>
            </w:pPr>
            <w:r w:rsidRPr="00606E86">
              <w:rPr>
                <w:rFonts w:ascii="仿宋" w:eastAsia="仿宋" w:hAnsi="仿宋" w:cs="Times New Roman" w:hint="eastAsia"/>
                <w:sz w:val="24"/>
                <w:szCs w:val="24"/>
              </w:rPr>
              <w:t>2</w:t>
            </w:r>
          </w:p>
        </w:tc>
        <w:tc>
          <w:tcPr>
            <w:tcW w:w="1647" w:type="dxa"/>
            <w:vMerge/>
            <w:vAlign w:val="center"/>
          </w:tcPr>
          <w:p w:rsidR="00606E86" w:rsidRPr="00606E86" w:rsidRDefault="00606E86" w:rsidP="0071466A">
            <w:pPr>
              <w:pStyle w:val="a5"/>
              <w:rPr>
                <w:rFonts w:ascii="仿宋" w:eastAsia="仿宋" w:hAnsi="仿宋" w:cs="Times New Roman"/>
                <w:sz w:val="24"/>
                <w:szCs w:val="24"/>
              </w:rPr>
            </w:pPr>
          </w:p>
        </w:tc>
      </w:tr>
      <w:tr w:rsidR="00606E86" w:rsidRPr="00606E86" w:rsidTr="0071466A">
        <w:trPr>
          <w:trHeight w:val="289"/>
          <w:jc w:val="center"/>
        </w:trPr>
        <w:tc>
          <w:tcPr>
            <w:tcW w:w="1083" w:type="dxa"/>
            <w:vMerge w:val="restart"/>
            <w:vAlign w:val="center"/>
          </w:tcPr>
          <w:p w:rsidR="00606E86" w:rsidRPr="00606E86" w:rsidRDefault="00606E86" w:rsidP="0071466A">
            <w:pPr>
              <w:pStyle w:val="aa"/>
              <w:rPr>
                <w:rFonts w:ascii="仿宋" w:eastAsia="仿宋" w:hAnsi="仿宋"/>
                <w:sz w:val="24"/>
                <w:szCs w:val="24"/>
              </w:rPr>
            </w:pPr>
          </w:p>
        </w:tc>
        <w:tc>
          <w:tcPr>
            <w:tcW w:w="73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各方向通选</w:t>
            </w: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商务与管理统计</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restart"/>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经济环境分析</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737" w:type="dxa"/>
            <w:vMerge/>
            <w:vAlign w:val="center"/>
          </w:tcPr>
          <w:p w:rsidR="00606E86" w:rsidRPr="00606E86" w:rsidRDefault="00606E86" w:rsidP="0071466A">
            <w:pPr>
              <w:pStyle w:val="aa"/>
              <w:rPr>
                <w:rFonts w:ascii="仿宋" w:eastAsia="仿宋" w:hAnsi="仿宋"/>
                <w:sz w:val="24"/>
                <w:szCs w:val="24"/>
              </w:rPr>
            </w:pPr>
          </w:p>
        </w:tc>
        <w:tc>
          <w:tcPr>
            <w:tcW w:w="2552"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沟通管理</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公司法与企业法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restart"/>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至少修满6学分</w:t>
            </w: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证券法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合同法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企业税法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企业并购与重组-法律</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房地产法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反垄断法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婚姻法与继承法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竞争法</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国际法专题</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289"/>
          <w:jc w:val="center"/>
        </w:trPr>
        <w:tc>
          <w:tcPr>
            <w:tcW w:w="1083" w:type="dxa"/>
            <w:vMerge/>
            <w:vAlign w:val="center"/>
          </w:tcPr>
          <w:p w:rsidR="00606E86" w:rsidRPr="00606E86" w:rsidRDefault="00606E86" w:rsidP="0071466A">
            <w:pPr>
              <w:pStyle w:val="aa"/>
              <w:rPr>
                <w:rFonts w:ascii="仿宋" w:eastAsia="仿宋" w:hAnsi="仿宋"/>
                <w:sz w:val="24"/>
                <w:szCs w:val="24"/>
              </w:rPr>
            </w:pP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商法与经济法专题</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36</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Merge/>
            <w:vAlign w:val="center"/>
          </w:tcPr>
          <w:p w:rsidR="00606E86" w:rsidRPr="00606E86" w:rsidRDefault="00606E86" w:rsidP="0071466A">
            <w:pPr>
              <w:pStyle w:val="aa"/>
              <w:rPr>
                <w:rFonts w:ascii="仿宋" w:eastAsia="仿宋" w:hAnsi="仿宋"/>
                <w:sz w:val="24"/>
                <w:szCs w:val="24"/>
              </w:rPr>
            </w:pPr>
          </w:p>
        </w:tc>
      </w:tr>
      <w:tr w:rsidR="00606E86" w:rsidRPr="00606E86" w:rsidTr="0071466A">
        <w:trPr>
          <w:trHeight w:val="539"/>
          <w:jc w:val="center"/>
        </w:trPr>
        <w:tc>
          <w:tcPr>
            <w:tcW w:w="1083"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法商管理案例研讨</w:t>
            </w:r>
          </w:p>
        </w:tc>
        <w:tc>
          <w:tcPr>
            <w:tcW w:w="3289" w:type="dxa"/>
            <w:gridSpan w:val="2"/>
            <w:vAlign w:val="center"/>
          </w:tcPr>
          <w:p w:rsidR="00606E86" w:rsidRPr="00606E86" w:rsidRDefault="00606E86" w:rsidP="006F61CF">
            <w:pPr>
              <w:pStyle w:val="aa"/>
              <w:rPr>
                <w:rFonts w:ascii="仿宋" w:eastAsia="仿宋" w:hAnsi="仿宋"/>
                <w:sz w:val="24"/>
                <w:szCs w:val="24"/>
              </w:rPr>
            </w:pPr>
            <w:r w:rsidRPr="00606E86">
              <w:rPr>
                <w:rFonts w:ascii="仿宋" w:eastAsia="仿宋" w:hAnsi="仿宋" w:hint="eastAsia"/>
                <w:sz w:val="24"/>
                <w:szCs w:val="24"/>
              </w:rPr>
              <w:t>包含：人力资源与劳动法、技术创新与知识产权、企业组织与公司治理、资本运营与金融法、企业法律风险与防范、品牌管理与商标法等专题</w:t>
            </w:r>
          </w:p>
        </w:tc>
        <w:tc>
          <w:tcPr>
            <w:tcW w:w="708"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18</w:t>
            </w: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1</w:t>
            </w:r>
          </w:p>
        </w:tc>
        <w:tc>
          <w:tcPr>
            <w:tcW w:w="1647"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至少修满3学分</w:t>
            </w:r>
          </w:p>
        </w:tc>
      </w:tr>
      <w:tr w:rsidR="00606E86" w:rsidRPr="00606E86" w:rsidTr="0071466A">
        <w:trPr>
          <w:trHeight w:val="618"/>
          <w:jc w:val="center"/>
        </w:trPr>
        <w:tc>
          <w:tcPr>
            <w:tcW w:w="1083"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专题讲座</w:t>
            </w: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包含：《企业社会责任和商业伦理》；“法商管理大讲堂之法律与管理系列、经济与管理系列、政治与管理系列、文化与管理系列、管理前沿等系列讲座”；“中国法商管理论坛”等</w:t>
            </w:r>
          </w:p>
        </w:tc>
        <w:tc>
          <w:tcPr>
            <w:tcW w:w="708" w:type="dxa"/>
            <w:vAlign w:val="center"/>
          </w:tcPr>
          <w:p w:rsidR="00606E86" w:rsidRPr="00606E86" w:rsidRDefault="00606E86" w:rsidP="0071466A">
            <w:pPr>
              <w:pStyle w:val="aa"/>
              <w:rPr>
                <w:rFonts w:ascii="仿宋" w:eastAsia="仿宋" w:hAnsi="仿宋"/>
                <w:sz w:val="24"/>
                <w:szCs w:val="24"/>
              </w:rPr>
            </w:pP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“企业社会责任和商业伦理”课程必选，并参加6次以上专题讲座、论坛、职业沙龙等</w:t>
            </w:r>
          </w:p>
        </w:tc>
      </w:tr>
      <w:tr w:rsidR="00606E86" w:rsidRPr="00606E86" w:rsidTr="0071466A">
        <w:trPr>
          <w:trHeight w:val="289"/>
          <w:jc w:val="center"/>
        </w:trPr>
        <w:tc>
          <w:tcPr>
            <w:tcW w:w="1083"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社会实践</w:t>
            </w:r>
          </w:p>
        </w:tc>
        <w:tc>
          <w:tcPr>
            <w:tcW w:w="3289" w:type="dxa"/>
            <w:gridSpan w:val="2"/>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参与“入学导向”、“法商管理国内外游学”等社会实践</w:t>
            </w:r>
          </w:p>
        </w:tc>
        <w:tc>
          <w:tcPr>
            <w:tcW w:w="708" w:type="dxa"/>
            <w:vAlign w:val="center"/>
          </w:tcPr>
          <w:p w:rsidR="00606E86" w:rsidRPr="00606E86" w:rsidRDefault="00606E86" w:rsidP="0071466A">
            <w:pPr>
              <w:pStyle w:val="aa"/>
              <w:rPr>
                <w:rFonts w:ascii="仿宋" w:eastAsia="仿宋" w:hAnsi="仿宋"/>
                <w:sz w:val="24"/>
                <w:szCs w:val="24"/>
              </w:rPr>
            </w:pPr>
          </w:p>
        </w:tc>
        <w:tc>
          <w:tcPr>
            <w:tcW w:w="709" w:type="dxa"/>
            <w:vAlign w:val="center"/>
          </w:tcPr>
          <w:p w:rsidR="00606E86" w:rsidRPr="00606E86" w:rsidRDefault="00606E86" w:rsidP="0071466A">
            <w:pPr>
              <w:pStyle w:val="aa"/>
              <w:rPr>
                <w:rFonts w:ascii="仿宋" w:eastAsia="仿宋" w:hAnsi="仿宋"/>
                <w:sz w:val="24"/>
                <w:szCs w:val="24"/>
              </w:rPr>
            </w:pPr>
            <w:r w:rsidRPr="00606E86">
              <w:rPr>
                <w:rFonts w:ascii="仿宋" w:eastAsia="仿宋" w:hAnsi="仿宋" w:hint="eastAsia"/>
                <w:sz w:val="24"/>
                <w:szCs w:val="24"/>
              </w:rPr>
              <w:t>2</w:t>
            </w:r>
          </w:p>
        </w:tc>
        <w:tc>
          <w:tcPr>
            <w:tcW w:w="1647" w:type="dxa"/>
            <w:vAlign w:val="center"/>
          </w:tcPr>
          <w:p w:rsidR="00606E86" w:rsidRPr="00606E86" w:rsidRDefault="00606E86" w:rsidP="0071466A">
            <w:pPr>
              <w:pStyle w:val="aa"/>
              <w:jc w:val="both"/>
              <w:rPr>
                <w:rFonts w:ascii="仿宋" w:eastAsia="仿宋" w:hAnsi="仿宋"/>
                <w:sz w:val="24"/>
                <w:szCs w:val="24"/>
              </w:rPr>
            </w:pPr>
            <w:r w:rsidRPr="00606E86">
              <w:rPr>
                <w:rFonts w:ascii="仿宋" w:eastAsia="仿宋" w:hAnsi="仿宋" w:hint="eastAsia"/>
                <w:sz w:val="24"/>
                <w:szCs w:val="24"/>
              </w:rPr>
              <w:t>提交一篇解决实际问题的分析报告</w:t>
            </w:r>
          </w:p>
        </w:tc>
      </w:tr>
    </w:tbl>
    <w:p w:rsidR="00864A0F" w:rsidRPr="00864A0F" w:rsidRDefault="00864A0F" w:rsidP="00864A0F">
      <w:pPr>
        <w:spacing w:line="360" w:lineRule="auto"/>
        <w:ind w:firstLineChars="150" w:firstLine="360"/>
        <w:rPr>
          <w:rFonts w:ascii="仿宋" w:eastAsia="仿宋" w:hAnsi="仿宋" w:cs="Times New Roman"/>
          <w:sz w:val="24"/>
          <w:szCs w:val="24"/>
        </w:rPr>
      </w:pPr>
      <w:r w:rsidRPr="00864A0F">
        <w:rPr>
          <w:rFonts w:ascii="仿宋" w:eastAsia="仿宋" w:hAnsi="仿宋" w:cs="Times New Roman" w:hint="eastAsia"/>
          <w:sz w:val="24"/>
          <w:szCs w:val="24"/>
        </w:rPr>
        <w:t>另，高等数学，补修课，2学分，36课时，作为一般选修课可计入总学分。</w:t>
      </w:r>
    </w:p>
    <w:p w:rsidR="00606E86" w:rsidRPr="00606E86" w:rsidRDefault="00864A0F" w:rsidP="00606E86">
      <w:pPr>
        <w:pStyle w:val="a9"/>
        <w:ind w:right="560" w:firstLine="0"/>
        <w:rPr>
          <w:rFonts w:ascii="仿宋" w:eastAsia="仿宋" w:hAnsi="仿宋"/>
          <w:szCs w:val="24"/>
        </w:rPr>
      </w:pPr>
      <w:r>
        <w:rPr>
          <w:rFonts w:ascii="仿宋" w:eastAsia="仿宋" w:hAnsi="仿宋" w:hint="eastAsia"/>
          <w:szCs w:val="24"/>
        </w:rPr>
        <w:t xml:space="preserve">   </w:t>
      </w:r>
    </w:p>
    <w:sectPr w:rsidR="00606E86" w:rsidRPr="00606E86" w:rsidSect="00AC2D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63" w:rsidRDefault="00A50563" w:rsidP="002C5B56">
      <w:r>
        <w:separator/>
      </w:r>
    </w:p>
  </w:endnote>
  <w:endnote w:type="continuationSeparator" w:id="0">
    <w:p w:rsidR="00A50563" w:rsidRDefault="00A50563" w:rsidP="002C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63" w:rsidRDefault="00A50563" w:rsidP="002C5B56">
      <w:r>
        <w:separator/>
      </w:r>
    </w:p>
  </w:footnote>
  <w:footnote w:type="continuationSeparator" w:id="0">
    <w:p w:rsidR="00A50563" w:rsidRDefault="00A50563" w:rsidP="002C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56"/>
    <w:rsid w:val="000D697C"/>
    <w:rsid w:val="00105D77"/>
    <w:rsid w:val="00167641"/>
    <w:rsid w:val="002918C9"/>
    <w:rsid w:val="002C5B56"/>
    <w:rsid w:val="003039B5"/>
    <w:rsid w:val="003F6283"/>
    <w:rsid w:val="004015E5"/>
    <w:rsid w:val="00477A0B"/>
    <w:rsid w:val="005844D2"/>
    <w:rsid w:val="005C3E5D"/>
    <w:rsid w:val="00606E86"/>
    <w:rsid w:val="00631F00"/>
    <w:rsid w:val="006766B2"/>
    <w:rsid w:val="006C62C0"/>
    <w:rsid w:val="006C7B9F"/>
    <w:rsid w:val="006F61CF"/>
    <w:rsid w:val="0071466A"/>
    <w:rsid w:val="0072317F"/>
    <w:rsid w:val="0077640A"/>
    <w:rsid w:val="007A7ACC"/>
    <w:rsid w:val="00864A0F"/>
    <w:rsid w:val="00900C2D"/>
    <w:rsid w:val="00981F3C"/>
    <w:rsid w:val="009D42D9"/>
    <w:rsid w:val="00A50563"/>
    <w:rsid w:val="00A81ED9"/>
    <w:rsid w:val="00AC2D57"/>
    <w:rsid w:val="00B11A92"/>
    <w:rsid w:val="00B405EB"/>
    <w:rsid w:val="00B657F4"/>
    <w:rsid w:val="00C551DA"/>
    <w:rsid w:val="00D11A3C"/>
    <w:rsid w:val="00D57F80"/>
    <w:rsid w:val="00DB40F6"/>
    <w:rsid w:val="00E262D1"/>
    <w:rsid w:val="00E330ED"/>
    <w:rsid w:val="00ED1941"/>
    <w:rsid w:val="00EF298D"/>
    <w:rsid w:val="00F26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83E52-7E77-4B89-92B1-77FE19EB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B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5B56"/>
    <w:rPr>
      <w:sz w:val="18"/>
      <w:szCs w:val="18"/>
    </w:rPr>
  </w:style>
  <w:style w:type="paragraph" w:styleId="a5">
    <w:name w:val="footer"/>
    <w:basedOn w:val="a"/>
    <w:link w:val="a6"/>
    <w:unhideWhenUsed/>
    <w:rsid w:val="002C5B56"/>
    <w:pPr>
      <w:tabs>
        <w:tab w:val="center" w:pos="4153"/>
        <w:tab w:val="right" w:pos="8306"/>
      </w:tabs>
      <w:snapToGrid w:val="0"/>
      <w:jc w:val="left"/>
    </w:pPr>
    <w:rPr>
      <w:sz w:val="18"/>
      <w:szCs w:val="18"/>
    </w:rPr>
  </w:style>
  <w:style w:type="character" w:customStyle="1" w:styleId="a6">
    <w:name w:val="页脚 字符"/>
    <w:basedOn w:val="a0"/>
    <w:link w:val="a5"/>
    <w:rsid w:val="002C5B56"/>
    <w:rPr>
      <w:sz w:val="18"/>
      <w:szCs w:val="18"/>
    </w:rPr>
  </w:style>
  <w:style w:type="table" w:styleId="a7">
    <w:name w:val="Table Grid"/>
    <w:basedOn w:val="a1"/>
    <w:uiPriority w:val="59"/>
    <w:rsid w:val="002C5B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2C5B56"/>
    <w:pPr>
      <w:widowControl/>
      <w:spacing w:before="100" w:beforeAutospacing="1" w:after="100" w:afterAutospacing="1"/>
      <w:jc w:val="left"/>
    </w:pPr>
    <w:rPr>
      <w:rFonts w:ascii="宋体" w:eastAsia="宋体" w:hAnsi="宋体" w:cs="宋体"/>
      <w:kern w:val="0"/>
      <w:sz w:val="24"/>
      <w:szCs w:val="24"/>
    </w:rPr>
  </w:style>
  <w:style w:type="paragraph" w:styleId="a9">
    <w:name w:val="Normal Indent"/>
    <w:basedOn w:val="a"/>
    <w:uiPriority w:val="99"/>
    <w:unhideWhenUsed/>
    <w:qFormat/>
    <w:rsid w:val="00900C2D"/>
    <w:pPr>
      <w:ind w:firstLine="420"/>
    </w:pPr>
    <w:rPr>
      <w:rFonts w:ascii="Times New Roman" w:eastAsia="宋体" w:hAnsi="Times New Roman" w:cs="Times New Roman"/>
      <w:sz w:val="24"/>
      <w:szCs w:val="21"/>
    </w:rPr>
  </w:style>
  <w:style w:type="paragraph" w:customStyle="1" w:styleId="aa">
    <w:name w:val="表格"/>
    <w:basedOn w:val="a"/>
    <w:rsid w:val="00606E86"/>
    <w:pPr>
      <w:spacing w:line="360" w:lineRule="exact"/>
      <w:jc w:val="center"/>
    </w:pPr>
    <w:rPr>
      <w:rFonts w:ascii="Times New Roman" w:eastAsia="宋体" w:hAnsi="Times New Roman" w:cs="Times New Roman"/>
      <w:szCs w:val="21"/>
    </w:rPr>
  </w:style>
  <w:style w:type="paragraph" w:styleId="ab">
    <w:name w:val="Plain Text"/>
    <w:basedOn w:val="a"/>
    <w:link w:val="ac"/>
    <w:uiPriority w:val="99"/>
    <w:unhideWhenUsed/>
    <w:rsid w:val="005844D2"/>
    <w:rPr>
      <w:rFonts w:ascii="宋体" w:hAnsi="Courier New" w:cs="Courier New"/>
      <w:sz w:val="24"/>
      <w:szCs w:val="21"/>
    </w:rPr>
  </w:style>
  <w:style w:type="character" w:customStyle="1" w:styleId="ac">
    <w:name w:val="纯文本 字符"/>
    <w:basedOn w:val="a0"/>
    <w:link w:val="ab"/>
    <w:uiPriority w:val="99"/>
    <w:rsid w:val="005844D2"/>
    <w:rPr>
      <w:rFonts w:ascii="宋体"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王旭</dc:creator>
  <cp:keywords/>
  <dc:description/>
  <cp:lastModifiedBy>Windows User</cp:lastModifiedBy>
  <cp:revision>13</cp:revision>
  <dcterms:created xsi:type="dcterms:W3CDTF">2016-09-03T08:35:00Z</dcterms:created>
  <dcterms:modified xsi:type="dcterms:W3CDTF">2018-05-12T09:29:00Z</dcterms:modified>
</cp:coreProperties>
</file>