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A67BA9" w:rsidRPr="00A67BA9" w:rsidTr="00FC6874">
        <w:trPr>
          <w:cantSplit/>
          <w:trHeight w:val="1691"/>
        </w:trPr>
        <w:tc>
          <w:tcPr>
            <w:tcW w:w="8789" w:type="dxa"/>
            <w:gridSpan w:val="5"/>
            <w:tcBorders>
              <w:top w:val="single" w:sz="4" w:space="0" w:color="auto"/>
              <w:bottom w:val="single" w:sz="4" w:space="0" w:color="auto"/>
            </w:tcBorders>
            <w:vAlign w:val="center"/>
            <w:hideMark/>
          </w:tcPr>
          <w:p w:rsidR="003F1810" w:rsidRPr="00A67BA9" w:rsidRDefault="003F1810" w:rsidP="00FD6419">
            <w:pPr>
              <w:widowControl/>
              <w:jc w:val="center"/>
              <w:rPr>
                <w:rFonts w:ascii="Times New Roman" w:eastAsia="黑体" w:hAnsi="Times New Roman"/>
                <w:sz w:val="32"/>
                <w:szCs w:val="32"/>
              </w:rPr>
            </w:pPr>
            <w:bookmarkStart w:id="0" w:name="_GoBack"/>
            <w:bookmarkEnd w:id="0"/>
            <w:r w:rsidRPr="00A67BA9">
              <w:rPr>
                <w:rFonts w:ascii="Times New Roman" w:eastAsia="黑体" w:hAnsi="Times New Roman" w:hint="eastAsia"/>
                <w:sz w:val="32"/>
                <w:szCs w:val="32"/>
              </w:rPr>
              <w:t>比较法学</w:t>
            </w:r>
            <w:r w:rsidRPr="00A67BA9">
              <w:rPr>
                <w:rFonts w:ascii="Times New Roman" w:eastAsia="黑体" w:hAnsi="Times New Roman"/>
                <w:sz w:val="32"/>
                <w:szCs w:val="32"/>
              </w:rPr>
              <w:t>专业攻读硕士学位研究生培养方案</w:t>
            </w:r>
          </w:p>
          <w:p w:rsidR="00FC6874" w:rsidRPr="00A67BA9" w:rsidRDefault="00FC6874" w:rsidP="00FC6874">
            <w:pPr>
              <w:widowControl/>
              <w:jc w:val="center"/>
              <w:rPr>
                <w:rFonts w:ascii="Times New Roman" w:eastAsia="黑体" w:hAnsi="Times New Roman"/>
                <w:sz w:val="32"/>
                <w:szCs w:val="32"/>
              </w:rPr>
            </w:pPr>
            <w:r w:rsidRPr="00A67BA9">
              <w:rPr>
                <w:rFonts w:ascii="Times New Roman" w:eastAsia="黑体" w:hAnsi="Times New Roman" w:hint="eastAsia"/>
                <w:sz w:val="32"/>
                <w:szCs w:val="32"/>
              </w:rPr>
              <w:t>（专业代码：</w:t>
            </w:r>
            <w:r w:rsidRPr="00A67BA9">
              <w:rPr>
                <w:rFonts w:ascii="Times New Roman" w:eastAsia="黑体" w:hAnsi="Times New Roman" w:hint="eastAsia"/>
                <w:sz w:val="32"/>
                <w:szCs w:val="32"/>
              </w:rPr>
              <w:t>0301Z3</w:t>
            </w:r>
            <w:r w:rsidRPr="00A67BA9">
              <w:rPr>
                <w:rFonts w:ascii="Times New Roman" w:eastAsia="黑体" w:hAnsi="Times New Roman" w:hint="eastAsia"/>
                <w:sz w:val="32"/>
                <w:szCs w:val="32"/>
              </w:rPr>
              <w:t>）</w:t>
            </w:r>
          </w:p>
        </w:tc>
      </w:tr>
      <w:tr w:rsidR="00A67BA9" w:rsidRPr="00A67BA9" w:rsidTr="00FD6419">
        <w:trPr>
          <w:trHeight w:val="962"/>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outlineLvl w:val="0"/>
              <w:rPr>
                <w:rFonts w:ascii="Times New Roman" w:hAnsi="Times New Roman"/>
              </w:rPr>
            </w:pPr>
            <w:r w:rsidRPr="00A67BA9">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ind w:rightChars="50" w:right="105" w:firstLineChars="200" w:firstLine="480"/>
              <w:rPr>
                <w:rFonts w:ascii="仿宋_GB2312" w:eastAsia="仿宋_GB2312" w:hAnsi="Times New Roman"/>
                <w:sz w:val="24"/>
                <w:szCs w:val="24"/>
              </w:rPr>
            </w:pPr>
            <w:r w:rsidRPr="00A67BA9">
              <w:rPr>
                <w:rFonts w:ascii="仿宋_GB2312" w:eastAsia="仿宋_GB2312" w:hint="eastAsia"/>
                <w:sz w:val="24"/>
                <w:szCs w:val="24"/>
              </w:rPr>
              <w:t>比较法学是十九世纪末以来发展起来的新兴法学学科。2009年，我校在比较法研究所、中德法学院和中美法学院的基础上整合成立比较法学研究院，搭建了比较法科研、教学和学科发展的新平台。比较法学专业以国际化的学术研究和人才培养为最大特色，以大陆法系、普通法系、以及欧盟、两岸四地等区域性法律的比较研究为主要对象，研究领域涵盖了比较法学基础理论、比较民商法、比较公法、欧盟法和国别法。我校比较法学专业开设有由外籍教师讲授的外语语言、比较法专业课程，由本院教师讲授的双语课程；注重培养学生的学术创新能力和涉外法律问题的处理能力；通过联合培养和交流协议，为学生提供赴海外著名高校攻读学位和交流学习的机会。</w:t>
            </w:r>
          </w:p>
        </w:tc>
      </w:tr>
      <w:tr w:rsidR="00A67BA9" w:rsidRPr="00A67BA9" w:rsidTr="00FD6419">
        <w:trPr>
          <w:trHeight w:val="702"/>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outlineLvl w:val="0"/>
              <w:rPr>
                <w:rFonts w:ascii="Times New Roman" w:eastAsia="黑体" w:hAnsi="Times New Roman"/>
                <w:sz w:val="24"/>
              </w:rPr>
            </w:pPr>
            <w:r w:rsidRPr="00A67BA9">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ind w:firstLineChars="200" w:firstLine="480"/>
              <w:outlineLvl w:val="0"/>
              <w:rPr>
                <w:rFonts w:eastAsia="仿宋_GB2312"/>
                <w:sz w:val="24"/>
                <w:szCs w:val="24"/>
              </w:rPr>
            </w:pPr>
            <w:r w:rsidRPr="00A67BA9">
              <w:rPr>
                <w:rFonts w:eastAsia="仿宋_GB2312" w:hint="eastAsia"/>
                <w:sz w:val="24"/>
                <w:szCs w:val="24"/>
              </w:rPr>
              <w:t>本专业培养品德高尚，行为端正，系统</w:t>
            </w:r>
            <w:r w:rsidRPr="00A67BA9">
              <w:rPr>
                <w:rFonts w:eastAsia="仿宋_GB2312"/>
                <w:sz w:val="24"/>
                <w:szCs w:val="24"/>
              </w:rPr>
              <w:t>掌握</w:t>
            </w:r>
            <w:r w:rsidRPr="00A67BA9">
              <w:rPr>
                <w:rFonts w:eastAsia="仿宋_GB2312" w:hint="eastAsia"/>
                <w:sz w:val="24"/>
                <w:szCs w:val="24"/>
              </w:rPr>
              <w:t>比较法学</w:t>
            </w:r>
            <w:r w:rsidRPr="00A67BA9">
              <w:rPr>
                <w:rFonts w:eastAsia="仿宋_GB2312"/>
                <w:sz w:val="24"/>
                <w:szCs w:val="24"/>
              </w:rPr>
              <w:t>基本原理</w:t>
            </w:r>
            <w:r w:rsidRPr="00A67BA9">
              <w:rPr>
                <w:rFonts w:eastAsia="仿宋_GB2312" w:hint="eastAsia"/>
                <w:sz w:val="24"/>
                <w:szCs w:val="24"/>
              </w:rPr>
              <w:t>、基本方法，兼具中国法、外国法知识，精通一门以上外语，能够独立进行国际交流、具有较强创新能力的国际化、复合型高级法律人才，以满足我国法制建设和社会发展等方面日益扩大的对外开放的需要。</w:t>
            </w:r>
          </w:p>
          <w:p w:rsidR="003F1810" w:rsidRPr="00A67BA9" w:rsidRDefault="003F1810" w:rsidP="00FD6419">
            <w:pPr>
              <w:ind w:firstLineChars="200" w:firstLine="480"/>
              <w:rPr>
                <w:rFonts w:ascii="Times New Roman" w:eastAsia="仿宋_GB2312" w:hAnsi="Times New Roman"/>
                <w:sz w:val="24"/>
              </w:rPr>
            </w:pPr>
            <w:r w:rsidRPr="00A67BA9">
              <w:rPr>
                <w:rFonts w:eastAsia="仿宋_GB2312" w:hint="eastAsia"/>
                <w:sz w:val="24"/>
                <w:szCs w:val="24"/>
              </w:rPr>
              <w:t>对于符合联合培养或对外交流条件的学生，研究院将选派其到海外大学攻读学位或学习，使在校一定比例的研究生同时取得海外著名大学的学位或获得海外学习经历。在国内学习的研究生，一般选修双语课程或外籍教师讲授的外语语言课程或专业课程。通过教学、科研、社会实践等培养环节，使本专业毕业的研究生生能够综合运用专业知识和外语独立开展学术研究、承担涉外法律实务工作，具备比较研究、从事对外交流和涉外法律实务工作的能力和优势。</w:t>
            </w:r>
          </w:p>
        </w:tc>
      </w:tr>
      <w:tr w:rsidR="00A67BA9" w:rsidRPr="00A67BA9" w:rsidTr="00FD6419">
        <w:trPr>
          <w:trHeight w:val="1344"/>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jc w:val="left"/>
              <w:outlineLvl w:val="0"/>
              <w:rPr>
                <w:rFonts w:ascii="Times New Roman" w:eastAsia="黑体" w:hAnsi="Times New Roman"/>
                <w:sz w:val="24"/>
              </w:rPr>
            </w:pPr>
            <w:r w:rsidRPr="00A67BA9">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（一）比较法学基础理论</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该研究方向主要从事比较法学的基本理论、基本方法的研究，吸纳世界各国、各地区的优秀法律文化，支持比较法学在部门法领域的具体研究，为完善有中国特色社会主义法律体系、培育当代中华法律文化提供理论上的支持。</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（二）比较民商法</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该研究方向主要从比较法的视角致力于研究各国民商事法学理论和法律实践之间的异同，分析比较国际相关民商事立法的立法源流和宗旨，以期拓宽我国民商事法学理论研究的视野，为我国完善相关民商事法律以及开展国际民商事交往提供理论依据和法律依据。该研究方向注重培养学生在熟练掌握一门外语的基础上，运用比较法学的研究方法，广泛深入地研究我国现阶段所面临的民商事法律问题的科研能力。</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lastRenderedPageBreak/>
              <w:t>（三）比较公法</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该研究方向主要从事外国公法，尤其是德国、美国等国家的宪法、行政法和诉讼法学的研究，并在此基础上运用比较法学的基本方法，深入分析我国与外国，大陆法系与英美法系以及其他区域性法律在公法理论与制度实践上的异同，为我国相关学科的完善提供比较法的支持。</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（四）欧盟法</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该研究方向已经开发了若干欧盟法的课程，特别是在欧盟私法领域基本形成了主干课程系列。本研究方向的特色在于：在研究方法上，强调欧盟法与中国法、外国法和国际法的比较研究的广度和深度；在研究方式上，注重欧盟法律与欧盟政治、经济和历史的跨学科的交叉研究；在研究内容上，强调对欧盟法律理论研究的同时，尤其加强对欧盟法院判例和中欧经贸关系中的法律问题的研究；在培养目标上，着重培养学生的国际视野和跨学科的研究能力，为中国参与区域一体化及其法律的协调培养高级法律人才。</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（五）国别法</w:t>
            </w:r>
          </w:p>
          <w:p w:rsidR="003F1810" w:rsidRPr="00A67BA9" w:rsidRDefault="003F1810" w:rsidP="00013707">
            <w:pPr>
              <w:ind w:firstLine="482"/>
              <w:rPr>
                <w:rFonts w:eastAsia="仿宋_GB2312"/>
              </w:rPr>
            </w:pPr>
            <w:r w:rsidRPr="00A67BA9">
              <w:rPr>
                <w:rFonts w:ascii="仿宋_GB2312" w:eastAsia="仿宋_GB2312" w:hint="eastAsia"/>
                <w:sz w:val="24"/>
                <w:szCs w:val="24"/>
              </w:rPr>
              <w:t>比较法学研究院的特色在于主要国别法的师资和教学能力。目前能够开设的国别法的课程有英美法和大陆法系主要国家的法律制度。本研究方向的特色在于：在研究方法上，强调国别法与中国法以及国际法的比较研究的广度和深度；在研究方式上，注重国别法与相应国家政治、经济和历史的跨学科的交叉研究；在研究内容上，强调对国别法律理论研究的同时，尤其加强对各相应国家法院判例和各国经贸关系中的法律问题的研究；在培养目标上，着重培养学生对各主要国家法律制度的深入研究和国际视野以及跨学科的研究能力，为中国参与区域一体化及其法律的协调培养高级法律人才。</w:t>
            </w:r>
          </w:p>
        </w:tc>
      </w:tr>
      <w:tr w:rsidR="00A67BA9" w:rsidRPr="00A67BA9" w:rsidTr="00FD6419">
        <w:trPr>
          <w:trHeight w:val="778"/>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outlineLvl w:val="0"/>
              <w:rPr>
                <w:rFonts w:ascii="Times New Roman" w:eastAsia="黑体" w:hAnsi="Times New Roman"/>
                <w:sz w:val="24"/>
              </w:rPr>
            </w:pPr>
            <w:r w:rsidRPr="00A67BA9">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3F1810" w:rsidRPr="00A67BA9" w:rsidRDefault="003F1810" w:rsidP="00FD6419">
            <w:pPr>
              <w:jc w:val="center"/>
              <w:rPr>
                <w:rFonts w:ascii="仿宋" w:eastAsia="仿宋" w:hAnsi="仿宋"/>
                <w:b/>
                <w:sz w:val="28"/>
                <w:szCs w:val="28"/>
              </w:rPr>
            </w:pPr>
            <w:r w:rsidRPr="00A67BA9">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3F1810" w:rsidRPr="00A67BA9" w:rsidRDefault="003F1810" w:rsidP="00FD6419">
            <w:pPr>
              <w:jc w:val="center"/>
              <w:rPr>
                <w:rFonts w:ascii="仿宋" w:eastAsia="仿宋" w:hAnsi="仿宋"/>
                <w:sz w:val="28"/>
                <w:szCs w:val="28"/>
              </w:rPr>
            </w:pPr>
            <w:r w:rsidRPr="00A67BA9">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3F1810" w:rsidRPr="00A67BA9" w:rsidRDefault="003F1810" w:rsidP="00FD6419">
            <w:pPr>
              <w:jc w:val="center"/>
              <w:rPr>
                <w:rFonts w:ascii="仿宋" w:eastAsia="仿宋" w:hAnsi="仿宋"/>
                <w:b/>
                <w:sz w:val="28"/>
                <w:szCs w:val="28"/>
              </w:rPr>
            </w:pPr>
            <w:r w:rsidRPr="00A67BA9">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3F1810" w:rsidRPr="00A67BA9" w:rsidRDefault="003F1810" w:rsidP="00FD6419">
            <w:pPr>
              <w:jc w:val="center"/>
              <w:rPr>
                <w:rFonts w:ascii="仿宋" w:eastAsia="仿宋" w:hAnsi="仿宋"/>
                <w:sz w:val="28"/>
                <w:szCs w:val="28"/>
              </w:rPr>
            </w:pPr>
            <w:r w:rsidRPr="00A67BA9">
              <w:rPr>
                <w:rFonts w:ascii="仿宋" w:eastAsia="仿宋" w:hAnsi="仿宋" w:hint="eastAsia"/>
                <w:sz w:val="28"/>
                <w:szCs w:val="28"/>
              </w:rPr>
              <w:t>二至四年</w:t>
            </w:r>
          </w:p>
        </w:tc>
      </w:tr>
      <w:tr w:rsidR="00A67BA9" w:rsidRPr="00A67BA9" w:rsidTr="00FD6419">
        <w:trPr>
          <w:trHeight w:val="846"/>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jc w:val="left"/>
              <w:outlineLvl w:val="0"/>
              <w:rPr>
                <w:rFonts w:ascii="Times New Roman" w:eastAsia="黑体" w:hAnsi="Times New Roman"/>
                <w:sz w:val="24"/>
              </w:rPr>
            </w:pPr>
            <w:r w:rsidRPr="00A67BA9">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rPr>
                <w:rFonts w:ascii="Times New Roman" w:eastAsia="仿宋_GB2312" w:hAnsi="Times New Roman"/>
                <w:sz w:val="24"/>
              </w:rPr>
            </w:pPr>
            <w:r w:rsidRPr="00A67BA9">
              <w:rPr>
                <w:rFonts w:ascii="Times New Roman" w:eastAsia="仿宋_GB2312" w:hAnsi="Times New Roman"/>
                <w:sz w:val="24"/>
              </w:rPr>
              <w:t>（见附表）</w:t>
            </w:r>
          </w:p>
        </w:tc>
      </w:tr>
      <w:tr w:rsidR="00A67BA9" w:rsidRPr="00A67BA9" w:rsidTr="00FD6419">
        <w:trPr>
          <w:trHeight w:val="672"/>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outlineLvl w:val="0"/>
              <w:rPr>
                <w:rFonts w:ascii="Times New Roman" w:eastAsia="黑体" w:hAnsi="Times New Roman"/>
                <w:sz w:val="24"/>
              </w:rPr>
            </w:pPr>
            <w:r w:rsidRPr="00A67BA9">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1. 本专业实行导师集体培养和导师个人负责的培养机制，充分发挥本专业导师跨学科、专业的学术结构优势，构建学科交叉、融合、互补和合作的学术团体培养力量，统筹指导硕士生的培养。</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2. 导师个人全面负责硕士生的课程学习、科学研究和社会实践的指导，并对硕士生培养的质量承担相应的责任。</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3. 硕士生的课程教学采取多种有效形式，课程内容和教学方式与科学研究和法律实务有机地相结合。硕士生导师组织、指导硕士生参加科学研究。</w:t>
            </w:r>
          </w:p>
          <w:p w:rsidR="003F1810" w:rsidRPr="00A67BA9" w:rsidRDefault="003F1810" w:rsidP="00FD6419">
            <w:pPr>
              <w:ind w:firstLineChars="200" w:firstLine="480"/>
              <w:rPr>
                <w:rFonts w:ascii="Times New Roman" w:eastAsia="仿宋_GB2312" w:hAnsi="Times New Roman"/>
                <w:sz w:val="24"/>
              </w:rPr>
            </w:pPr>
            <w:r w:rsidRPr="00A67BA9">
              <w:rPr>
                <w:rFonts w:ascii="仿宋_GB2312" w:eastAsia="仿宋_GB2312" w:hint="eastAsia"/>
                <w:sz w:val="24"/>
                <w:szCs w:val="24"/>
              </w:rPr>
              <w:t>4. 研究院根据专业成绩和外语水平推荐本专业硕士生参加中外联合培养项目。各研究方向根据学校、研究院与海</w:t>
            </w:r>
            <w:r w:rsidRPr="00A67BA9">
              <w:rPr>
                <w:rFonts w:ascii="仿宋_GB2312" w:eastAsia="仿宋_GB2312" w:hint="eastAsia"/>
                <w:sz w:val="24"/>
                <w:szCs w:val="24"/>
              </w:rPr>
              <w:lastRenderedPageBreak/>
              <w:t>外大学签订的协议，具体设置外语教学和相关课程衔接方案。</w:t>
            </w:r>
          </w:p>
        </w:tc>
      </w:tr>
      <w:tr w:rsidR="00A67BA9" w:rsidRPr="00A67BA9" w:rsidTr="00FD6419">
        <w:trPr>
          <w:trHeight w:val="620"/>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outlineLvl w:val="0"/>
              <w:rPr>
                <w:rFonts w:ascii="Times New Roman" w:eastAsia="黑体" w:hAnsi="Times New Roman"/>
                <w:sz w:val="24"/>
              </w:rPr>
            </w:pPr>
            <w:r w:rsidRPr="00A67BA9">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ind w:firstLineChars="200" w:firstLine="480"/>
              <w:rPr>
                <w:rFonts w:ascii="仿宋_GB2312" w:eastAsia="仿宋_GB2312" w:hAnsi="Times New Roman"/>
                <w:sz w:val="24"/>
              </w:rPr>
            </w:pPr>
            <w:r w:rsidRPr="00A67BA9">
              <w:rPr>
                <w:rFonts w:ascii="仿宋_GB2312" w:eastAsia="仿宋_GB2312" w:hAnsi="Times New Roman" w:hint="eastAsia"/>
                <w:sz w:val="24"/>
              </w:rPr>
              <w:t>1. 具备深厚的比较法学专业知识，在系统掌握本国法某一领域知识的同时，精通外国相关领域法，能够将社会经济文化背景和制度相结合，在比较中推陈出新；</w:t>
            </w:r>
          </w:p>
          <w:p w:rsidR="003F1810" w:rsidRPr="00A67BA9" w:rsidRDefault="003F1810" w:rsidP="00FD6419">
            <w:pPr>
              <w:ind w:firstLineChars="200" w:firstLine="480"/>
              <w:rPr>
                <w:rFonts w:ascii="仿宋_GB2312" w:eastAsia="仿宋_GB2312" w:hAnsi="Times New Roman"/>
                <w:sz w:val="24"/>
              </w:rPr>
            </w:pPr>
            <w:r w:rsidRPr="00A67BA9">
              <w:rPr>
                <w:rFonts w:ascii="仿宋_GB2312" w:eastAsia="仿宋_GB2312" w:hAnsi="Times New Roman" w:hint="eastAsia"/>
                <w:sz w:val="24"/>
              </w:rPr>
              <w:t>2.精通一门以上的外语，具备较强的国际学术交流能力；</w:t>
            </w:r>
          </w:p>
          <w:p w:rsidR="003F1810" w:rsidRPr="00A67BA9" w:rsidRDefault="003F1810" w:rsidP="00FD6419">
            <w:pPr>
              <w:ind w:firstLineChars="200" w:firstLine="480"/>
              <w:rPr>
                <w:rFonts w:ascii="Times New Roman" w:eastAsia="仿宋_GB2312" w:hAnsi="Times New Roman"/>
                <w:sz w:val="24"/>
              </w:rPr>
            </w:pPr>
            <w:r w:rsidRPr="00A67BA9">
              <w:rPr>
                <w:rFonts w:ascii="仿宋_GB2312" w:eastAsia="仿宋_GB2312" w:hAnsi="Times New Roman" w:hint="eastAsia"/>
                <w:sz w:val="24"/>
              </w:rPr>
              <w:t>3. 具有国际化的学术视野和国际学术及实务的交往、工作能力。</w:t>
            </w:r>
          </w:p>
        </w:tc>
      </w:tr>
      <w:tr w:rsidR="00A67BA9" w:rsidRPr="00A67BA9" w:rsidTr="00FD6419">
        <w:trPr>
          <w:trHeight w:val="984"/>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outlineLvl w:val="0"/>
              <w:rPr>
                <w:rFonts w:ascii="Times New Roman" w:eastAsia="黑体" w:hAnsi="Times New Roman"/>
                <w:sz w:val="24"/>
              </w:rPr>
            </w:pPr>
            <w:r w:rsidRPr="00A67BA9">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1.本专业硕士生培养的各个主要环节都进行相应的考核，以检查、评定培养的结果和培养的质量。</w:t>
            </w:r>
          </w:p>
          <w:p w:rsidR="003F1810" w:rsidRPr="00A67BA9" w:rsidRDefault="003F1810" w:rsidP="00FD6419">
            <w:pPr>
              <w:ind w:firstLine="482"/>
              <w:rPr>
                <w:rFonts w:ascii="仿宋_GB2312" w:eastAsia="仿宋_GB2312"/>
                <w:sz w:val="24"/>
                <w:szCs w:val="24"/>
              </w:rPr>
            </w:pPr>
            <w:r w:rsidRPr="00A67BA9">
              <w:rPr>
                <w:rFonts w:ascii="仿宋_GB2312" w:eastAsia="仿宋_GB2312" w:hint="eastAsia"/>
                <w:sz w:val="24"/>
                <w:szCs w:val="24"/>
              </w:rPr>
              <w:t>2.硕士生的课程考核除按学校的有关规定执行，任课教师应充分考虑培养的要求和课程教学的目的，决定相应的考核方式和考核标准。</w:t>
            </w:r>
          </w:p>
          <w:p w:rsidR="00A265D3" w:rsidRPr="00A67BA9" w:rsidRDefault="003F1810" w:rsidP="00A265D3">
            <w:pPr>
              <w:ind w:firstLine="482"/>
              <w:rPr>
                <w:rFonts w:ascii="仿宋_GB2312" w:eastAsia="仿宋_GB2312"/>
                <w:sz w:val="24"/>
                <w:szCs w:val="24"/>
              </w:rPr>
            </w:pPr>
            <w:r w:rsidRPr="00A67BA9">
              <w:rPr>
                <w:rFonts w:ascii="仿宋_GB2312" w:eastAsia="仿宋_GB2312" w:hint="eastAsia"/>
                <w:sz w:val="24"/>
                <w:szCs w:val="24"/>
              </w:rPr>
              <w:t>3.本专业硕士生在导师组织、指导下参加科研工作、教学实习和社会实践，应予正式考核。</w:t>
            </w:r>
            <w:r w:rsidR="00A265D3" w:rsidRPr="00A67BA9">
              <w:rPr>
                <w:rFonts w:ascii="仿宋_GB2312" w:eastAsia="仿宋_GB2312" w:hint="eastAsia"/>
                <w:sz w:val="24"/>
                <w:szCs w:val="24"/>
              </w:rPr>
              <w:t>学术型硕士研究生应撰写相关的专题论文、读书报告、学期论文作为科研能力的考核。</w:t>
            </w:r>
          </w:p>
          <w:p w:rsidR="003F1810" w:rsidRPr="00A67BA9" w:rsidRDefault="00A265D3" w:rsidP="00A265D3">
            <w:pPr>
              <w:ind w:firstLine="482"/>
              <w:rPr>
                <w:rFonts w:ascii="仿宋_GB2312" w:eastAsia="仿宋_GB2312"/>
                <w:sz w:val="24"/>
                <w:szCs w:val="24"/>
              </w:rPr>
            </w:pPr>
            <w:r w:rsidRPr="00A67BA9">
              <w:rPr>
                <w:rFonts w:ascii="仿宋_GB2312" w:eastAsia="仿宋_GB2312" w:hint="eastAsia"/>
                <w:sz w:val="24"/>
                <w:szCs w:val="24"/>
              </w:rPr>
              <w:t>社会实践环节是学术型硕士研究生的必修环节。社会实践可以通过专业实习、挂职锻炼、产学研基地联合培养和社会调查等走入社会的方式进行，以专业实习为主。社会实践的时间一般不得少于2个月，并需要提交不低于2千字的社会实践报告。</w:t>
            </w:r>
          </w:p>
          <w:p w:rsidR="00E4294D" w:rsidRPr="00A67BA9" w:rsidRDefault="003F1810" w:rsidP="002415A8">
            <w:pPr>
              <w:ind w:firstLineChars="200" w:firstLine="480"/>
              <w:rPr>
                <w:rFonts w:ascii="仿宋_GB2312" w:eastAsia="仿宋_GB2312"/>
                <w:sz w:val="24"/>
                <w:szCs w:val="24"/>
              </w:rPr>
            </w:pPr>
            <w:r w:rsidRPr="00A67BA9">
              <w:rPr>
                <w:rFonts w:ascii="仿宋_GB2312" w:eastAsia="仿宋_GB2312" w:hint="eastAsia"/>
                <w:sz w:val="24"/>
                <w:szCs w:val="24"/>
              </w:rPr>
              <w:t>4.本专业硕士生</w:t>
            </w:r>
            <w:r w:rsidR="00FC6874" w:rsidRPr="00A67BA9">
              <w:rPr>
                <w:rFonts w:ascii="仿宋_GB2312" w:eastAsia="仿宋_GB2312" w:hint="eastAsia"/>
                <w:sz w:val="24"/>
                <w:szCs w:val="24"/>
              </w:rPr>
              <w:t>在规定时间内完成全部课程学习，修满规定的学分后，应进行中期考核。学术型硕士研究生的中期考核主要采取书面审核方式。具体方式和程序依据《中国政法大学学术型硕士研究生培养规定》。</w:t>
            </w:r>
          </w:p>
        </w:tc>
      </w:tr>
      <w:tr w:rsidR="00A67BA9" w:rsidRPr="00A67BA9" w:rsidTr="00FD6419">
        <w:trPr>
          <w:trHeight w:val="842"/>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jc w:val="left"/>
              <w:outlineLvl w:val="0"/>
              <w:rPr>
                <w:rFonts w:ascii="Times New Roman" w:eastAsia="黑体" w:hAnsi="Times New Roman"/>
                <w:sz w:val="24"/>
              </w:rPr>
            </w:pPr>
            <w:r w:rsidRPr="00A67BA9">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D604CC" w:rsidP="00FD6419">
            <w:pPr>
              <w:ind w:firstLine="482"/>
              <w:outlineLvl w:val="0"/>
              <w:rPr>
                <w:rFonts w:ascii="仿宋_GB2312" w:eastAsia="仿宋_GB2312"/>
                <w:sz w:val="24"/>
                <w:szCs w:val="24"/>
              </w:rPr>
            </w:pPr>
            <w:r w:rsidRPr="00A67BA9">
              <w:rPr>
                <w:rFonts w:ascii="仿宋_GB2312" w:eastAsia="仿宋_GB2312" w:hint="eastAsia"/>
                <w:sz w:val="24"/>
                <w:szCs w:val="24"/>
              </w:rPr>
              <w:t>1.</w:t>
            </w:r>
            <w:r w:rsidR="003F1810" w:rsidRPr="00A67BA9">
              <w:rPr>
                <w:rFonts w:ascii="仿宋_GB2312" w:eastAsia="仿宋_GB2312" w:hint="eastAsia"/>
                <w:sz w:val="24"/>
                <w:szCs w:val="24"/>
              </w:rPr>
              <w:t>本专业研究生硕士学位论文的选题在导师指导下自主确定，并在研究院的组织下做开题报告。</w:t>
            </w:r>
            <w:r w:rsidR="002415A8" w:rsidRPr="00A67BA9">
              <w:rPr>
                <w:rFonts w:ascii="仿宋_GB2312" w:eastAsia="仿宋_GB2312" w:hint="eastAsia"/>
                <w:sz w:val="24"/>
                <w:szCs w:val="24"/>
              </w:rPr>
              <w:t>开题报告按照《中国政法大学学术型硕士研究生培养规定》，由3位具有导师资格的校内外专家组成考核委员会进行。</w:t>
            </w:r>
          </w:p>
          <w:p w:rsidR="003F1810" w:rsidRPr="00A67BA9" w:rsidRDefault="00D604CC" w:rsidP="00FD6419">
            <w:pPr>
              <w:ind w:firstLine="482"/>
              <w:outlineLvl w:val="0"/>
              <w:rPr>
                <w:rFonts w:ascii="仿宋_GB2312" w:eastAsia="仿宋_GB2312"/>
                <w:sz w:val="24"/>
                <w:szCs w:val="24"/>
              </w:rPr>
            </w:pPr>
            <w:r w:rsidRPr="00A67BA9">
              <w:rPr>
                <w:rFonts w:ascii="仿宋_GB2312" w:eastAsia="仿宋_GB2312" w:hint="eastAsia"/>
                <w:sz w:val="24"/>
                <w:szCs w:val="24"/>
              </w:rPr>
              <w:t>2.</w:t>
            </w:r>
            <w:r w:rsidR="003F1810" w:rsidRPr="00A67BA9">
              <w:rPr>
                <w:rFonts w:ascii="仿宋_GB2312" w:eastAsia="仿宋_GB2312" w:hint="eastAsia"/>
                <w:sz w:val="24"/>
                <w:szCs w:val="24"/>
              </w:rPr>
              <w:t>研究生的学位论文必须按照国家和学校的有关规定独立完成，</w:t>
            </w:r>
            <w:r w:rsidR="00FC6874" w:rsidRPr="00A67BA9">
              <w:rPr>
                <w:rFonts w:ascii="仿宋_GB2312" w:eastAsia="仿宋_GB2312" w:hint="eastAsia"/>
                <w:sz w:val="24"/>
                <w:szCs w:val="24"/>
              </w:rPr>
              <w:t>学位论文必须符合学校原创性和规范性要求，严禁抄袭剽窃，且论文正文字数不少于三万字。</w:t>
            </w:r>
          </w:p>
          <w:p w:rsidR="003F1810" w:rsidRPr="00A67BA9" w:rsidRDefault="00D604CC" w:rsidP="00FD6419">
            <w:pPr>
              <w:ind w:firstLine="482"/>
              <w:outlineLvl w:val="0"/>
              <w:rPr>
                <w:rFonts w:eastAsia="仿宋_GB2312"/>
                <w:sz w:val="24"/>
                <w:szCs w:val="24"/>
              </w:rPr>
            </w:pPr>
            <w:r w:rsidRPr="00A67BA9">
              <w:rPr>
                <w:rFonts w:ascii="仿宋_GB2312" w:eastAsia="仿宋_GB2312" w:hint="eastAsia"/>
                <w:sz w:val="24"/>
                <w:szCs w:val="24"/>
              </w:rPr>
              <w:t>3.</w:t>
            </w:r>
            <w:r w:rsidR="003F1810" w:rsidRPr="00A67BA9">
              <w:rPr>
                <w:rFonts w:ascii="仿宋_GB2312" w:eastAsia="仿宋_GB2312" w:hint="eastAsia"/>
                <w:sz w:val="24"/>
                <w:szCs w:val="24"/>
              </w:rPr>
              <w:t>导师应对研究生学位论文的课题选择、资料收集、开题报告、撰写进程、指导措施、论文质量和答辩要求提出明确、切实的规划，并认真监控撰写进度，检查撰写质量。对不执行规定的撰写要求或质量不合格的学位论文，导师可在论文答辩前向学院提出处理意见，学院将评估导师意见并依照国家和学校的有关规定作出相应的处理。</w:t>
            </w:r>
          </w:p>
        </w:tc>
      </w:tr>
      <w:tr w:rsidR="00A67BA9" w:rsidRPr="00A67BA9" w:rsidTr="00FD6419">
        <w:trPr>
          <w:trHeight w:val="1207"/>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jc w:val="left"/>
              <w:outlineLvl w:val="0"/>
              <w:rPr>
                <w:rFonts w:ascii="Times New Roman" w:eastAsia="黑体" w:hAnsi="Times New Roman"/>
                <w:sz w:val="24"/>
              </w:rPr>
            </w:pPr>
            <w:r w:rsidRPr="00A67BA9">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FD6419">
            <w:pPr>
              <w:ind w:firstLine="482"/>
              <w:outlineLvl w:val="0"/>
              <w:rPr>
                <w:rFonts w:ascii="仿宋_GB2312" w:eastAsia="仿宋_GB2312"/>
                <w:sz w:val="24"/>
                <w:szCs w:val="24"/>
              </w:rPr>
            </w:pPr>
            <w:r w:rsidRPr="00A67BA9">
              <w:rPr>
                <w:rFonts w:ascii="仿宋_GB2312" w:eastAsia="仿宋_GB2312" w:hint="eastAsia"/>
                <w:sz w:val="24"/>
                <w:szCs w:val="24"/>
              </w:rPr>
              <w:t>1.本专业硕士生在完成学位论文撰写并经导师同意后，应及时办理学位论文答辩手续，进入答辩程序。</w:t>
            </w:r>
          </w:p>
          <w:p w:rsidR="00A265D3" w:rsidRPr="00A67BA9" w:rsidRDefault="00A265D3" w:rsidP="00FD6419">
            <w:pPr>
              <w:ind w:firstLine="482"/>
              <w:outlineLvl w:val="0"/>
              <w:rPr>
                <w:rFonts w:ascii="仿宋_GB2312" w:eastAsia="仿宋_GB2312"/>
                <w:sz w:val="24"/>
                <w:szCs w:val="24"/>
              </w:rPr>
            </w:pPr>
            <w:r w:rsidRPr="00A67BA9">
              <w:rPr>
                <w:rFonts w:ascii="仿宋_GB2312" w:eastAsia="仿宋_GB2312" w:cs="仿宋_GB2312" w:hint="eastAsia"/>
                <w:sz w:val="24"/>
                <w:szCs w:val="24"/>
              </w:rPr>
              <w:t>2.本专业建立并实行预答辩制度。预答辩应在答辩前至少三个月进行，由导师邀请本学科</w:t>
            </w:r>
            <w:r w:rsidRPr="00A67BA9">
              <w:rPr>
                <w:rFonts w:ascii="仿宋_GB2312" w:eastAsia="仿宋_GB2312" w:cs="仿宋_GB2312"/>
                <w:sz w:val="24"/>
                <w:szCs w:val="24"/>
              </w:rPr>
              <w:t>3-5</w:t>
            </w:r>
            <w:r w:rsidRPr="00A67BA9">
              <w:rPr>
                <w:rFonts w:ascii="仿宋_GB2312" w:eastAsia="仿宋_GB2312" w:cs="仿宋_GB2312" w:hint="eastAsia"/>
                <w:sz w:val="24"/>
                <w:szCs w:val="24"/>
              </w:rPr>
              <w:t>名专家参加。硕士生应在导师的监督指导下根据预答辩小组意见认真修改学位论</w:t>
            </w:r>
            <w:r w:rsidRPr="00A67BA9">
              <w:rPr>
                <w:rFonts w:ascii="仿宋_GB2312" w:eastAsia="仿宋_GB2312" w:cs="仿宋_GB2312" w:hint="eastAsia"/>
                <w:sz w:val="24"/>
                <w:szCs w:val="24"/>
              </w:rPr>
              <w:lastRenderedPageBreak/>
              <w:t>文。</w:t>
            </w:r>
          </w:p>
          <w:p w:rsidR="003F1810" w:rsidRPr="00A67BA9" w:rsidRDefault="002415A8" w:rsidP="00FD6419">
            <w:pPr>
              <w:ind w:firstLine="482"/>
              <w:outlineLvl w:val="0"/>
              <w:rPr>
                <w:rFonts w:ascii="仿宋_GB2312" w:eastAsia="仿宋_GB2312"/>
                <w:sz w:val="24"/>
                <w:szCs w:val="24"/>
              </w:rPr>
            </w:pPr>
            <w:r w:rsidRPr="00A67BA9">
              <w:rPr>
                <w:rFonts w:ascii="仿宋_GB2312" w:eastAsia="仿宋_GB2312" w:hint="eastAsia"/>
                <w:sz w:val="24"/>
                <w:szCs w:val="24"/>
              </w:rPr>
              <w:t>3</w:t>
            </w:r>
            <w:r w:rsidR="003F1810" w:rsidRPr="00A67BA9">
              <w:rPr>
                <w:rFonts w:ascii="仿宋_GB2312" w:eastAsia="仿宋_GB2312" w:hint="eastAsia"/>
                <w:sz w:val="24"/>
                <w:szCs w:val="24"/>
              </w:rPr>
              <w:t>.本专业硕士生学位论文</w:t>
            </w:r>
            <w:r w:rsidRPr="00A67BA9">
              <w:rPr>
                <w:rFonts w:ascii="仿宋_GB2312" w:eastAsia="仿宋_GB2312"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2415A8" w:rsidRPr="00A67BA9" w:rsidRDefault="002415A8" w:rsidP="002415A8">
            <w:pPr>
              <w:ind w:firstLine="482"/>
              <w:outlineLvl w:val="0"/>
              <w:rPr>
                <w:rFonts w:ascii="仿宋_GB2312" w:eastAsia="仿宋_GB2312"/>
                <w:sz w:val="24"/>
                <w:szCs w:val="24"/>
              </w:rPr>
            </w:pPr>
            <w:r w:rsidRPr="00A67BA9">
              <w:rPr>
                <w:rFonts w:ascii="仿宋_GB2312" w:eastAsia="仿宋_GB2312" w:hint="eastAsia"/>
                <w:sz w:val="24"/>
                <w:szCs w:val="24"/>
              </w:rPr>
              <w:t>4</w:t>
            </w:r>
            <w:r w:rsidR="003F1810" w:rsidRPr="00A67BA9">
              <w:rPr>
                <w:rFonts w:ascii="仿宋_GB2312" w:eastAsia="仿宋_GB2312" w:hint="eastAsia"/>
                <w:sz w:val="24"/>
                <w:szCs w:val="24"/>
              </w:rPr>
              <w:t>.</w:t>
            </w:r>
            <w:r w:rsidRPr="00A67BA9">
              <w:rPr>
                <w:rFonts w:hint="eastAsia"/>
              </w:rPr>
              <w:t xml:space="preserve"> </w:t>
            </w:r>
            <w:r w:rsidRPr="00A67BA9">
              <w:rPr>
                <w:rFonts w:ascii="仿宋_GB2312" w:eastAsia="仿宋_GB2312" w:hint="eastAsia"/>
                <w:sz w:val="24"/>
                <w:szCs w:val="24"/>
              </w:rPr>
              <w:t>答辩委员会在认真审阅学位论文的基础上，对申请人进行公正、严肃、认真、负责的提问和无记名表决，并向校学位评定委员会提出授予或不授予硕士学位的建议。</w:t>
            </w:r>
          </w:p>
          <w:p w:rsidR="003F1810" w:rsidRPr="00A67BA9" w:rsidRDefault="002415A8" w:rsidP="002415A8">
            <w:pPr>
              <w:ind w:firstLine="482"/>
              <w:outlineLvl w:val="0"/>
              <w:rPr>
                <w:rFonts w:ascii="仿宋_GB2312" w:eastAsia="仿宋_GB2312"/>
                <w:sz w:val="24"/>
                <w:szCs w:val="24"/>
              </w:rPr>
            </w:pPr>
            <w:r w:rsidRPr="00A67BA9">
              <w:rPr>
                <w:rFonts w:ascii="仿宋_GB2312" w:eastAsia="仿宋_GB2312" w:hint="eastAsia"/>
                <w:sz w:val="24"/>
                <w:szCs w:val="24"/>
              </w:rPr>
              <w:t>硕士学位的授予应符合《中国政法大学学位授予办法》（法大发〔2016〕44号）和《中华人民共和国学位条例》的要求。</w:t>
            </w:r>
          </w:p>
        </w:tc>
      </w:tr>
      <w:tr w:rsidR="00A67BA9" w:rsidRPr="00A67BA9" w:rsidTr="00FD6419">
        <w:trPr>
          <w:trHeight w:val="1207"/>
        </w:trPr>
        <w:tc>
          <w:tcPr>
            <w:tcW w:w="2269" w:type="dxa"/>
            <w:tcBorders>
              <w:top w:val="single" w:sz="4" w:space="0" w:color="auto"/>
              <w:bottom w:val="single" w:sz="4" w:space="0" w:color="auto"/>
              <w:right w:val="single" w:sz="4" w:space="0" w:color="auto"/>
            </w:tcBorders>
            <w:vAlign w:val="center"/>
          </w:tcPr>
          <w:p w:rsidR="003F1810" w:rsidRPr="00A67BA9" w:rsidRDefault="003F1810" w:rsidP="00FD6419">
            <w:pPr>
              <w:jc w:val="left"/>
              <w:outlineLvl w:val="0"/>
              <w:rPr>
                <w:rFonts w:ascii="Times New Roman" w:eastAsia="黑体" w:hAnsi="Times New Roman"/>
                <w:sz w:val="24"/>
              </w:rPr>
            </w:pPr>
            <w:r w:rsidRPr="00A67BA9">
              <w:rPr>
                <w:rFonts w:ascii="Times New Roman" w:eastAsia="黑体" w:hAnsi="Times New Roman"/>
                <w:sz w:val="24"/>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3F1810" w:rsidRPr="00A67BA9" w:rsidRDefault="003F1810" w:rsidP="00013707">
            <w:pPr>
              <w:ind w:firstLineChars="150" w:firstLine="361"/>
              <w:rPr>
                <w:rFonts w:ascii="仿宋" w:eastAsia="仿宋" w:hAnsi="仿宋"/>
                <w:b/>
                <w:sz w:val="24"/>
                <w:szCs w:val="24"/>
              </w:rPr>
            </w:pPr>
            <w:r w:rsidRPr="00A67BA9">
              <w:rPr>
                <w:rFonts w:ascii="仿宋" w:eastAsia="仿宋" w:hAnsi="仿宋" w:hint="eastAsia"/>
                <w:b/>
                <w:sz w:val="24"/>
                <w:szCs w:val="24"/>
              </w:rPr>
              <w:t>（一）中文书目</w:t>
            </w:r>
          </w:p>
          <w:p w:rsidR="003F1810" w:rsidRPr="00A67BA9" w:rsidRDefault="003F1810" w:rsidP="00013707">
            <w:pPr>
              <w:ind w:firstLineChars="200" w:firstLine="482"/>
              <w:rPr>
                <w:rFonts w:ascii="仿宋" w:eastAsia="仿宋" w:hAnsi="仿宋"/>
                <w:b/>
                <w:sz w:val="24"/>
                <w:szCs w:val="24"/>
              </w:rPr>
            </w:pPr>
            <w:r w:rsidRPr="00A67BA9">
              <w:rPr>
                <w:rFonts w:ascii="仿宋" w:eastAsia="仿宋" w:hAnsi="仿宋" w:hint="eastAsia"/>
                <w:b/>
                <w:sz w:val="24"/>
                <w:szCs w:val="24"/>
              </w:rPr>
              <w:t>1．著作类</w:t>
            </w:r>
          </w:p>
          <w:p w:rsidR="003F1810" w:rsidRPr="00A67BA9" w:rsidRDefault="003F1810" w:rsidP="00013707">
            <w:pPr>
              <w:ind w:firstLineChars="200" w:firstLine="482"/>
              <w:rPr>
                <w:rFonts w:ascii="仿宋" w:eastAsia="仿宋" w:hAnsi="仿宋"/>
                <w:b/>
                <w:sz w:val="24"/>
                <w:szCs w:val="24"/>
              </w:rPr>
            </w:pPr>
            <w:r w:rsidRPr="00A67BA9">
              <w:rPr>
                <w:rFonts w:ascii="仿宋" w:eastAsia="仿宋" w:hAnsi="仿宋" w:hint="eastAsia"/>
                <w:b/>
                <w:sz w:val="24"/>
                <w:szCs w:val="24"/>
              </w:rPr>
              <w:t>（1）一般著作</w:t>
            </w:r>
          </w:p>
          <w:p w:rsidR="003F1810" w:rsidRPr="00A67BA9" w:rsidRDefault="003F1810" w:rsidP="00FD6419">
            <w:pPr>
              <w:rPr>
                <w:rFonts w:ascii="仿宋_GB2312" w:eastAsia="仿宋_GB2312" w:cs="宋体"/>
                <w:kern w:val="0"/>
                <w:sz w:val="24"/>
                <w:szCs w:val="24"/>
              </w:rPr>
            </w:pPr>
            <w:r w:rsidRPr="00A67BA9">
              <w:rPr>
                <w:rFonts w:ascii="仿宋_GB2312" w:eastAsia="仿宋_GB2312" w:cs="宋体" w:hint="eastAsia"/>
                <w:kern w:val="0"/>
                <w:sz w:val="24"/>
                <w:szCs w:val="24"/>
              </w:rPr>
              <w:t>1. 刘兆兴主编，《比较法学》，中国政法大学出版社，2013年。</w:t>
            </w:r>
          </w:p>
          <w:p w:rsidR="003F1810" w:rsidRPr="00A67BA9" w:rsidRDefault="003F1810" w:rsidP="00FD6419">
            <w:pPr>
              <w:rPr>
                <w:rFonts w:ascii="仿宋_GB2312" w:eastAsia="仿宋_GB2312" w:cs="宋体"/>
                <w:kern w:val="0"/>
                <w:sz w:val="24"/>
                <w:szCs w:val="24"/>
              </w:rPr>
            </w:pPr>
            <w:r w:rsidRPr="00A67BA9">
              <w:rPr>
                <w:rFonts w:ascii="仿宋_GB2312" w:eastAsia="仿宋_GB2312" w:cs="宋体" w:hint="eastAsia"/>
                <w:kern w:val="0"/>
                <w:sz w:val="24"/>
                <w:szCs w:val="24"/>
              </w:rPr>
              <w:t>2．杨遂全著：《比较民商法学》，法律出版社2007年9月修订版。</w:t>
            </w:r>
          </w:p>
          <w:p w:rsidR="003F1810" w:rsidRPr="00A67BA9" w:rsidRDefault="003F1810" w:rsidP="00FD6419">
            <w:pPr>
              <w:rPr>
                <w:rFonts w:ascii="仿宋_GB2312" w:eastAsia="仿宋_GB2312" w:hAnsi="仿宋"/>
                <w:sz w:val="24"/>
                <w:szCs w:val="24"/>
              </w:rPr>
            </w:pPr>
            <w:r w:rsidRPr="00A67BA9">
              <w:rPr>
                <w:rFonts w:ascii="仿宋_GB2312" w:eastAsia="仿宋_GB2312" w:hAnsi="仿宋"/>
                <w:sz w:val="24"/>
                <w:szCs w:val="24"/>
              </w:rPr>
              <w:t xml:space="preserve">3. </w:t>
            </w:r>
            <w:r w:rsidRPr="00A67BA9">
              <w:rPr>
                <w:rFonts w:ascii="仿宋_GB2312" w:eastAsia="仿宋_GB2312" w:hAnsi="仿宋" w:hint="eastAsia"/>
                <w:sz w:val="24"/>
                <w:szCs w:val="24"/>
              </w:rPr>
              <w:t>沈宗灵：《比较法研究》，北京大学出版社</w:t>
            </w:r>
            <w:r w:rsidRPr="00A67BA9">
              <w:rPr>
                <w:rFonts w:ascii="仿宋_GB2312" w:eastAsia="仿宋_GB2312" w:hAnsi="仿宋"/>
                <w:sz w:val="24"/>
                <w:szCs w:val="24"/>
              </w:rPr>
              <w:t>2006年第12次印刷。</w:t>
            </w:r>
          </w:p>
          <w:p w:rsidR="003F1810" w:rsidRPr="00A67BA9" w:rsidRDefault="003F1810" w:rsidP="00FD6419">
            <w:pPr>
              <w:rPr>
                <w:rFonts w:ascii="仿宋_GB2312" w:eastAsia="仿宋_GB2312" w:hAnsi="仿宋"/>
                <w:b/>
                <w:sz w:val="24"/>
                <w:szCs w:val="24"/>
              </w:rPr>
            </w:pPr>
            <w:r w:rsidRPr="00A67BA9">
              <w:rPr>
                <w:rFonts w:ascii="仿宋_GB2312" w:eastAsia="仿宋_GB2312" w:hAnsi="仿宋"/>
                <w:sz w:val="24"/>
                <w:szCs w:val="24"/>
              </w:rPr>
              <w:t xml:space="preserve">4. </w:t>
            </w:r>
            <w:r w:rsidRPr="00A67BA9">
              <w:rPr>
                <w:rFonts w:ascii="仿宋_GB2312" w:eastAsia="仿宋_GB2312" w:hAnsi="仿宋" w:hint="eastAsia"/>
                <w:sz w:val="24"/>
                <w:szCs w:val="24"/>
              </w:rPr>
              <w:t>高鸿钧等编：《比较法学读本》，上海交通大学出版社</w:t>
            </w:r>
            <w:r w:rsidRPr="00A67BA9">
              <w:rPr>
                <w:rFonts w:ascii="仿宋_GB2312" w:eastAsia="仿宋_GB2312" w:hAnsi="仿宋"/>
                <w:sz w:val="24"/>
                <w:szCs w:val="24"/>
              </w:rPr>
              <w:t>2011年版。</w:t>
            </w:r>
          </w:p>
          <w:p w:rsidR="003F1810" w:rsidRPr="00A67BA9" w:rsidRDefault="003F1810" w:rsidP="00013707">
            <w:pPr>
              <w:ind w:firstLineChars="200" w:firstLine="482"/>
              <w:rPr>
                <w:rFonts w:ascii="仿宋" w:eastAsia="仿宋" w:hAnsi="仿宋"/>
                <w:b/>
                <w:sz w:val="24"/>
                <w:szCs w:val="24"/>
              </w:rPr>
            </w:pPr>
            <w:r w:rsidRPr="00A67BA9">
              <w:rPr>
                <w:rFonts w:ascii="仿宋" w:eastAsia="仿宋" w:hAnsi="仿宋" w:hint="eastAsia"/>
                <w:b/>
                <w:sz w:val="24"/>
                <w:szCs w:val="24"/>
              </w:rPr>
              <w:t>（2）译著类</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 [法]勒内·达维德著，漆竹生译：《当代主要法律体系》，五南图书出版公司1983年版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2. [美]理查德·A·波斯纳著，蒋兆康译:《法律的经济分析》，中国大百科全书出版社1997年版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3. [德]哈特穆特·毛雷尔著，高家伟译：《行政法学总论》，法律出版社2000年版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4. [德]迪特尔·梅迪库斯著，邵建东译：《德国民法总论》，法律出版社2001年版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5. [美]H.W.埃尔曼著，贺卫方、高鸿钧译：《比较法律文化》，清华大学出版社2002年版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6. [美]理查德·B·斯图尔特著，沈岿译：《美国行政法的重构》，商务印书馆2002年版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7. [德]伯恩哈德·格罗斯菲尔德著，孙世彦、姚建宗译：《比较法的力量与弱点》，清华大学出版社2002年版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8. [德]茨威格特、克茨著，潘汉典等译：《比较法总论》，法律出版社2003年版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9. [德]马迪亚斯·赫蒂根，张恩民译：《欧洲法》（第5版），法律出版社2003年版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10. [日]大木雅夫著，华夏、战宪斌译：《东西方的法观念比较》，北京大学出版社2004年版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11. [日]大木雅夫著，范愉译：《比较法》，法律出版社2006</w:t>
            </w:r>
            <w:r w:rsidRPr="00A67BA9">
              <w:rPr>
                <w:rFonts w:ascii="仿宋_GB2312" w:eastAsia="仿宋_GB2312" w:hint="eastAsia"/>
                <w:sz w:val="24"/>
                <w:szCs w:val="24"/>
              </w:rPr>
              <w:lastRenderedPageBreak/>
              <w:t>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12. [美]楼建波等译：《公司治理原则：分析与建议》上下卷，美国法律重述汉译丛书，法律出版社2006年版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13. [美]许传玺等译：《侵权法重述：纲要》，美国法律重述汉译丛书，法律出版社2006年版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14. [俄]黄道秀译：《俄罗斯联邦民法典》，北京大学出版社</w:t>
            </w:r>
            <w:r w:rsidR="00CF584E" w:rsidRPr="00A67BA9">
              <w:rPr>
                <w:rFonts w:ascii="仿宋_GB2312" w:eastAsia="仿宋_GB2312" w:hint="eastAsia"/>
                <w:sz w:val="24"/>
                <w:szCs w:val="24"/>
              </w:rPr>
              <w:t>2008</w:t>
            </w:r>
            <w:r w:rsidRPr="00A67BA9">
              <w:rPr>
                <w:rFonts w:ascii="仿宋_GB2312" w:eastAsia="仿宋_GB2312" w:hint="eastAsia"/>
                <w:sz w:val="24"/>
                <w:szCs w:val="24"/>
              </w:rPr>
              <w:t>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15. [英]尼格尔·G·福斯特著，何志鹏译：《欧盟立法》，北京大学出版社2007年版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16. [法]德尼西蒙著，王玉芳等译：《欧盟法律体系》，北京大学出版社2007年版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17. [德]康德拉·黑塞著，李辉译：《联邦德国宪法纲要》，商务印书馆2007年版</w:t>
            </w:r>
          </w:p>
          <w:p w:rsidR="003F1810" w:rsidRPr="00A67BA9" w:rsidRDefault="003F1810" w:rsidP="00FD6419">
            <w:pPr>
              <w:rPr>
                <w:rFonts w:ascii="仿宋_GB2312" w:eastAsia="仿宋_GB2312"/>
                <w:sz w:val="24"/>
                <w:szCs w:val="24"/>
              </w:rPr>
            </w:pPr>
            <w:r w:rsidRPr="00A67BA9">
              <w:rPr>
                <w:rFonts w:ascii="仿宋_GB2312" w:eastAsia="仿宋_GB2312" w:hint="eastAsia"/>
                <w:sz w:val="24"/>
                <w:szCs w:val="24"/>
              </w:rPr>
              <w:t>18. 程卫东、李靖</w:t>
            </w:r>
            <w:r w:rsidRPr="00A67BA9">
              <w:rPr>
                <w:rFonts w:ascii="仿宋_GB2312" w:hint="eastAsia"/>
                <w:sz w:val="24"/>
                <w:szCs w:val="24"/>
              </w:rPr>
              <w:t>堃</w:t>
            </w:r>
            <w:r w:rsidRPr="00A67BA9">
              <w:rPr>
                <w:rFonts w:ascii="仿宋_GB2312" w:eastAsia="仿宋_GB2312" w:hint="eastAsia"/>
                <w:sz w:val="24"/>
                <w:szCs w:val="24"/>
              </w:rPr>
              <w:t>译：《欧洲联盟基础条约—经&lt;里斯本条约&gt;修订》，社会科学文献出版社2010年版</w:t>
            </w:r>
          </w:p>
          <w:p w:rsidR="003F1810" w:rsidRPr="00A67BA9" w:rsidRDefault="003F1810" w:rsidP="00013707">
            <w:pPr>
              <w:ind w:firstLineChars="200" w:firstLine="482"/>
              <w:rPr>
                <w:rFonts w:ascii="仿宋" w:eastAsia="仿宋" w:hAnsi="仿宋"/>
                <w:b/>
                <w:sz w:val="24"/>
                <w:szCs w:val="24"/>
              </w:rPr>
            </w:pPr>
            <w:r w:rsidRPr="00A67BA9">
              <w:rPr>
                <w:rFonts w:ascii="仿宋" w:eastAsia="仿宋" w:hAnsi="仿宋" w:hint="eastAsia"/>
                <w:b/>
                <w:sz w:val="24"/>
                <w:szCs w:val="24"/>
              </w:rPr>
              <w:t>（3）台、港、澳地区著作</w:t>
            </w:r>
          </w:p>
          <w:p w:rsidR="003F1810" w:rsidRPr="00A67BA9" w:rsidRDefault="003F1810" w:rsidP="00FD6419">
            <w:pPr>
              <w:rPr>
                <w:rFonts w:ascii="仿宋_GB2312" w:eastAsia="仿宋_GB2312" w:hAnsi="仿宋"/>
                <w:sz w:val="24"/>
                <w:szCs w:val="24"/>
              </w:rPr>
            </w:pPr>
            <w:r w:rsidRPr="00A67BA9">
              <w:rPr>
                <w:rFonts w:ascii="仿宋_GB2312" w:eastAsia="仿宋_GB2312" w:cs="宋体" w:hint="eastAsia"/>
                <w:kern w:val="0"/>
                <w:sz w:val="24"/>
                <w:szCs w:val="24"/>
              </w:rPr>
              <w:t>1. 王泽鉴（台）著：《民法学说与判例研究》1－8册，北京大学出版社2009年版</w:t>
            </w:r>
          </w:p>
          <w:p w:rsidR="003F1810" w:rsidRPr="00A67BA9" w:rsidRDefault="003F1810" w:rsidP="00013707">
            <w:pPr>
              <w:ind w:firstLineChars="200" w:firstLine="482"/>
              <w:rPr>
                <w:rFonts w:ascii="仿宋" w:eastAsia="仿宋" w:hAnsi="仿宋"/>
                <w:b/>
                <w:sz w:val="24"/>
                <w:szCs w:val="24"/>
              </w:rPr>
            </w:pPr>
            <w:r w:rsidRPr="00A67BA9">
              <w:rPr>
                <w:rFonts w:ascii="仿宋" w:eastAsia="仿宋" w:hAnsi="仿宋" w:hint="eastAsia"/>
                <w:b/>
                <w:sz w:val="24"/>
                <w:szCs w:val="24"/>
              </w:rPr>
              <w:t>（二）外文书目</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Bruce A. Ackerman, </w:t>
            </w:r>
            <w:r w:rsidRPr="00A67BA9">
              <w:rPr>
                <w:rFonts w:ascii="Times New Roman" w:hAnsi="Times New Roman"/>
                <w:i/>
                <w:iCs/>
                <w:kern w:val="0"/>
                <w:sz w:val="24"/>
                <w:szCs w:val="24"/>
              </w:rPr>
              <w:t>Reconstructing American law</w:t>
            </w:r>
            <w:r w:rsidRPr="00A67BA9">
              <w:rPr>
                <w:rFonts w:ascii="Times New Roman" w:hAnsi="Times New Roman"/>
                <w:kern w:val="0"/>
                <w:sz w:val="24"/>
                <w:szCs w:val="24"/>
              </w:rPr>
              <w:t>, Harvard University Press, 1984</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Oliver W. Holmes Jr., </w:t>
            </w:r>
            <w:r w:rsidRPr="00A67BA9">
              <w:rPr>
                <w:rFonts w:ascii="Times New Roman" w:hAnsi="Times New Roman"/>
                <w:i/>
                <w:iCs/>
                <w:kern w:val="0"/>
                <w:sz w:val="24"/>
                <w:szCs w:val="24"/>
              </w:rPr>
              <w:t>The Common Law</w:t>
            </w:r>
            <w:r w:rsidRPr="00A67BA9">
              <w:rPr>
                <w:rFonts w:ascii="Times New Roman" w:hAnsi="Times New Roman"/>
                <w:kern w:val="0"/>
                <w:sz w:val="24"/>
                <w:szCs w:val="24"/>
              </w:rPr>
              <w:t>, Dover Publications, 1991</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Werner Flume, </w:t>
            </w:r>
            <w:r w:rsidRPr="00A67BA9">
              <w:rPr>
                <w:rFonts w:ascii="Times New Roman" w:hAnsi="Times New Roman"/>
                <w:i/>
                <w:iCs/>
                <w:kern w:val="0"/>
                <w:sz w:val="24"/>
                <w:szCs w:val="24"/>
                <w:lang w:val="de-DE"/>
              </w:rPr>
              <w:t>Das Rechtsgeschäft</w:t>
            </w:r>
            <w:r w:rsidRPr="00A67BA9">
              <w:rPr>
                <w:rFonts w:ascii="Times New Roman" w:hAnsi="Times New Roman"/>
                <w:kern w:val="0"/>
                <w:sz w:val="24"/>
                <w:szCs w:val="24"/>
                <w:lang w:val="de-DE"/>
              </w:rPr>
              <w:t>, Springer-Verlag, 1992</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it-IT"/>
              </w:rPr>
              <w:t xml:space="preserve">R. Sacco, </w:t>
            </w:r>
            <w:r w:rsidRPr="00A67BA9">
              <w:rPr>
                <w:rFonts w:ascii="Times New Roman" w:hAnsi="Times New Roman"/>
                <w:i/>
                <w:iCs/>
                <w:kern w:val="0"/>
                <w:sz w:val="24"/>
                <w:szCs w:val="24"/>
                <w:lang w:val="it-IT"/>
              </w:rPr>
              <w:t>Introduzione al diritto comparato</w:t>
            </w:r>
            <w:r w:rsidRPr="00A67BA9">
              <w:rPr>
                <w:rFonts w:ascii="Times New Roman" w:hAnsi="Times New Roman"/>
                <w:kern w:val="0"/>
                <w:sz w:val="24"/>
                <w:szCs w:val="24"/>
                <w:lang w:val="it-IT"/>
              </w:rPr>
              <w:t>, Utet, 1992</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it-IT"/>
              </w:rPr>
              <w:t xml:space="preserve">R. Sacco, </w:t>
            </w:r>
            <w:r w:rsidRPr="00A67BA9">
              <w:rPr>
                <w:rFonts w:ascii="Times New Roman" w:hAnsi="Times New Roman"/>
                <w:i/>
                <w:iCs/>
                <w:kern w:val="0"/>
                <w:sz w:val="24"/>
                <w:szCs w:val="24"/>
                <w:lang w:val="it-IT"/>
              </w:rPr>
              <w:t>Che cos'è il diritto comparato</w:t>
            </w:r>
            <w:r w:rsidRPr="00A67BA9">
              <w:rPr>
                <w:rFonts w:ascii="Times New Roman" w:hAnsi="Times New Roman"/>
                <w:kern w:val="0"/>
                <w:sz w:val="24"/>
                <w:szCs w:val="24"/>
                <w:lang w:val="it-IT"/>
              </w:rPr>
              <w:t>, Giuffrè, 1992</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H. L. A. Hart, Penelope Bulloch, Joseph Raz, </w:t>
            </w:r>
            <w:r w:rsidRPr="00A67BA9">
              <w:rPr>
                <w:rFonts w:ascii="Times New Roman" w:hAnsi="Times New Roman"/>
                <w:i/>
                <w:iCs/>
                <w:kern w:val="0"/>
                <w:sz w:val="24"/>
                <w:szCs w:val="24"/>
              </w:rPr>
              <w:t>The Concept of Law,</w:t>
            </w:r>
            <w:r w:rsidRPr="00A67BA9">
              <w:rPr>
                <w:rFonts w:ascii="Times New Roman" w:hAnsi="Times New Roman"/>
                <w:kern w:val="0"/>
                <w:sz w:val="24"/>
                <w:szCs w:val="24"/>
              </w:rPr>
              <w:t xml:space="preserve"> Oxford University Press, 1997</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John Rawls, </w:t>
            </w:r>
            <w:r w:rsidRPr="00A67BA9">
              <w:rPr>
                <w:rFonts w:ascii="Times New Roman" w:hAnsi="Times New Roman"/>
                <w:i/>
                <w:iCs/>
                <w:kern w:val="0"/>
                <w:sz w:val="24"/>
                <w:szCs w:val="24"/>
              </w:rPr>
              <w:t>A Theory of Justice</w:t>
            </w:r>
            <w:r w:rsidRPr="00A67BA9">
              <w:rPr>
                <w:rFonts w:ascii="Times New Roman" w:hAnsi="Times New Roman"/>
                <w:kern w:val="0"/>
                <w:sz w:val="24"/>
                <w:szCs w:val="24"/>
              </w:rPr>
              <w:t>, Harvard University Press, 1999</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ru-RU"/>
              </w:rPr>
              <w:t>СаидовА</w:t>
            </w:r>
            <w:r w:rsidRPr="00A67BA9">
              <w:rPr>
                <w:rFonts w:ascii="Times New Roman" w:hAnsi="Times New Roman"/>
                <w:kern w:val="0"/>
                <w:sz w:val="24"/>
                <w:szCs w:val="24"/>
                <w:lang w:val="it-IT"/>
              </w:rPr>
              <w:t>.</w:t>
            </w:r>
            <w:r w:rsidRPr="00A67BA9">
              <w:rPr>
                <w:rFonts w:ascii="Times New Roman" w:hAnsi="Times New Roman"/>
                <w:kern w:val="0"/>
                <w:sz w:val="24"/>
                <w:szCs w:val="24"/>
                <w:lang w:val="ru-RU"/>
              </w:rPr>
              <w:t>Х</w:t>
            </w:r>
            <w:r w:rsidRPr="00A67BA9">
              <w:rPr>
                <w:rFonts w:ascii="Times New Roman" w:hAnsi="Times New Roman"/>
                <w:kern w:val="0"/>
                <w:sz w:val="24"/>
                <w:szCs w:val="24"/>
                <w:lang w:val="it-IT"/>
              </w:rPr>
              <w:t xml:space="preserve">., </w:t>
            </w:r>
            <w:r w:rsidRPr="00A67BA9">
              <w:rPr>
                <w:rFonts w:ascii="Times New Roman" w:hAnsi="Times New Roman"/>
                <w:i/>
                <w:iCs/>
                <w:kern w:val="0"/>
                <w:sz w:val="24"/>
                <w:szCs w:val="24"/>
                <w:lang w:val="ru-RU"/>
              </w:rPr>
              <w:t>Сравнительноеправоведение</w:t>
            </w:r>
            <w:r w:rsidRPr="00A67BA9">
              <w:rPr>
                <w:rFonts w:ascii="Times New Roman" w:hAnsi="Times New Roman"/>
                <w:i/>
                <w:iCs/>
                <w:kern w:val="0"/>
                <w:sz w:val="24"/>
                <w:szCs w:val="24"/>
                <w:lang w:val="it-IT"/>
              </w:rPr>
              <w:t xml:space="preserve">. </w:t>
            </w:r>
            <w:r w:rsidRPr="00A67BA9">
              <w:rPr>
                <w:rFonts w:ascii="Times New Roman" w:hAnsi="Times New Roman"/>
                <w:i/>
                <w:iCs/>
                <w:kern w:val="0"/>
                <w:sz w:val="24"/>
                <w:szCs w:val="24"/>
                <w:lang w:val="ru-RU"/>
              </w:rPr>
              <w:t>М</w:t>
            </w:r>
            <w:r w:rsidRPr="00A67BA9">
              <w:rPr>
                <w:rFonts w:ascii="Times New Roman" w:hAnsi="Times New Roman"/>
                <w:i/>
                <w:iCs/>
                <w:kern w:val="0"/>
                <w:sz w:val="24"/>
                <w:szCs w:val="24"/>
                <w:lang w:val="it-IT"/>
              </w:rPr>
              <w:t>.,</w:t>
            </w:r>
            <w:r w:rsidRPr="00A67BA9">
              <w:rPr>
                <w:rFonts w:ascii="Times New Roman" w:hAnsi="Times New Roman"/>
                <w:kern w:val="0"/>
                <w:sz w:val="24"/>
                <w:szCs w:val="24"/>
                <w:lang w:val="ru-RU"/>
              </w:rPr>
              <w:t>Юристъ</w:t>
            </w:r>
            <w:r w:rsidRPr="00A67BA9">
              <w:rPr>
                <w:rFonts w:ascii="Times New Roman" w:hAnsi="Times New Roman"/>
                <w:kern w:val="0"/>
                <w:sz w:val="24"/>
                <w:szCs w:val="24"/>
                <w:lang w:val="it-IT"/>
              </w:rPr>
              <w:t>, 2000</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fr-CA"/>
              </w:rPr>
              <w:t xml:space="preserve">Jean Carbonnier, </w:t>
            </w:r>
            <w:r w:rsidRPr="00A67BA9">
              <w:rPr>
                <w:rFonts w:ascii="Times New Roman" w:hAnsi="Times New Roman"/>
                <w:i/>
                <w:iCs/>
                <w:kern w:val="0"/>
                <w:sz w:val="24"/>
                <w:szCs w:val="24"/>
                <w:lang w:val="fr-CA"/>
              </w:rPr>
              <w:t>Flexible droit</w:t>
            </w:r>
            <w:r w:rsidRPr="00A67BA9">
              <w:rPr>
                <w:rFonts w:ascii="Times New Roman" w:hAnsi="Times New Roman"/>
                <w:kern w:val="0"/>
                <w:sz w:val="24"/>
                <w:szCs w:val="24"/>
                <w:lang w:val="fr-CA"/>
              </w:rPr>
              <w:t>, L.G.D.J, 2001</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Vivian G. Curran (ed.), </w:t>
            </w:r>
            <w:r w:rsidRPr="00A67BA9">
              <w:rPr>
                <w:rFonts w:ascii="Times New Roman" w:hAnsi="Times New Roman"/>
                <w:i/>
                <w:iCs/>
                <w:kern w:val="0"/>
                <w:sz w:val="24"/>
                <w:szCs w:val="24"/>
              </w:rPr>
              <w:t>Comparative law: An Introduction</w:t>
            </w:r>
            <w:r w:rsidRPr="00A67BA9">
              <w:rPr>
                <w:rFonts w:ascii="Times New Roman" w:hAnsi="Times New Roman"/>
                <w:kern w:val="0"/>
                <w:sz w:val="24"/>
                <w:szCs w:val="24"/>
              </w:rPr>
              <w:t>, Carolina Academic Press, 2002</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Martijn W. Hesselink, </w:t>
            </w:r>
            <w:r w:rsidRPr="00A67BA9">
              <w:rPr>
                <w:rFonts w:ascii="Times New Roman" w:hAnsi="Times New Roman"/>
                <w:i/>
                <w:iCs/>
                <w:kern w:val="0"/>
                <w:sz w:val="24"/>
                <w:szCs w:val="24"/>
              </w:rPr>
              <w:t>The New European Private Law: Essays on the Future of Private Law in Europe</w:t>
            </w:r>
            <w:r w:rsidRPr="00A67BA9">
              <w:rPr>
                <w:rFonts w:ascii="Times New Roman" w:hAnsi="Times New Roman"/>
                <w:kern w:val="0"/>
                <w:sz w:val="24"/>
                <w:szCs w:val="24"/>
              </w:rPr>
              <w:t>, Kluwer Law International 2002</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Hans Brox, </w:t>
            </w:r>
            <w:r w:rsidRPr="00A67BA9">
              <w:rPr>
                <w:rFonts w:ascii="Times New Roman" w:hAnsi="Times New Roman"/>
                <w:i/>
                <w:iCs/>
                <w:kern w:val="0"/>
                <w:sz w:val="24"/>
                <w:szCs w:val="24"/>
                <w:lang w:val="de-DE"/>
              </w:rPr>
              <w:t>Allgemeiner Teil des BGB</w:t>
            </w:r>
            <w:r w:rsidRPr="00A67BA9">
              <w:rPr>
                <w:rFonts w:ascii="Times New Roman" w:hAnsi="Times New Roman"/>
                <w:kern w:val="0"/>
                <w:sz w:val="24"/>
                <w:szCs w:val="24"/>
                <w:lang w:val="de-DE"/>
              </w:rPr>
              <w:t>, Carl Heymanns Verlag, 2003</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Stephen C. Hsu (ed.), </w:t>
            </w:r>
            <w:r w:rsidRPr="00A67BA9">
              <w:rPr>
                <w:rFonts w:ascii="Times New Roman" w:hAnsi="Times New Roman"/>
                <w:i/>
                <w:iCs/>
                <w:kern w:val="0"/>
                <w:sz w:val="24"/>
                <w:szCs w:val="24"/>
              </w:rPr>
              <w:t>Understanding China's Legal System,</w:t>
            </w:r>
            <w:r w:rsidRPr="00A67BA9">
              <w:rPr>
                <w:rFonts w:ascii="Times New Roman" w:hAnsi="Times New Roman"/>
                <w:kern w:val="0"/>
                <w:sz w:val="24"/>
                <w:szCs w:val="24"/>
              </w:rPr>
              <w:t xml:space="preserve"> New York University Press, 2003</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Friedhelm Hufen, </w:t>
            </w:r>
            <w:r w:rsidRPr="00A67BA9">
              <w:rPr>
                <w:rFonts w:ascii="Times New Roman" w:hAnsi="Times New Roman"/>
                <w:i/>
                <w:iCs/>
                <w:kern w:val="0"/>
                <w:sz w:val="24"/>
                <w:szCs w:val="24"/>
                <w:lang w:val="de-DE"/>
              </w:rPr>
              <w:t>Verwaltungsprozessrecht</w:t>
            </w:r>
            <w:r w:rsidRPr="00A67BA9">
              <w:rPr>
                <w:rFonts w:ascii="Times New Roman" w:hAnsi="Times New Roman"/>
                <w:kern w:val="0"/>
                <w:sz w:val="24"/>
                <w:szCs w:val="24"/>
                <w:lang w:val="de-DE"/>
              </w:rPr>
              <w:t>, C.H.Beck, 2003</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lastRenderedPageBreak/>
              <w:t xml:space="preserve">Hans-Joachim Schuetz / Thomas Bruha / Doris Koenig, </w:t>
            </w:r>
            <w:r w:rsidRPr="00A67BA9">
              <w:rPr>
                <w:rFonts w:ascii="Times New Roman" w:hAnsi="Times New Roman"/>
                <w:i/>
                <w:iCs/>
                <w:kern w:val="0"/>
                <w:sz w:val="24"/>
                <w:szCs w:val="24"/>
                <w:lang w:val="de-DE"/>
              </w:rPr>
              <w:t>Casebook Europarecht</w:t>
            </w:r>
            <w:r w:rsidRPr="00A67BA9">
              <w:rPr>
                <w:rFonts w:ascii="Times New Roman" w:hAnsi="Times New Roman"/>
                <w:kern w:val="0"/>
                <w:sz w:val="24"/>
                <w:szCs w:val="24"/>
                <w:lang w:val="de-DE"/>
              </w:rPr>
              <w:t>, Verlag C.H. Beck Muenchen 2004</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Dieter Medicus, </w:t>
            </w:r>
            <w:r w:rsidRPr="00A67BA9">
              <w:rPr>
                <w:rFonts w:ascii="Times New Roman" w:hAnsi="Times New Roman"/>
                <w:i/>
                <w:iCs/>
                <w:kern w:val="0"/>
                <w:sz w:val="24"/>
                <w:szCs w:val="24"/>
                <w:lang w:val="de-DE"/>
              </w:rPr>
              <w:t>Bürgerliches Recht</w:t>
            </w:r>
            <w:r w:rsidRPr="00A67BA9">
              <w:rPr>
                <w:rFonts w:ascii="Times New Roman" w:hAnsi="Times New Roman"/>
                <w:kern w:val="0"/>
                <w:sz w:val="24"/>
                <w:szCs w:val="24"/>
                <w:lang w:val="de-DE"/>
              </w:rPr>
              <w:t>, Carl Heymanns Verlag, 2004</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Larenz/Wolf, </w:t>
            </w:r>
            <w:r w:rsidRPr="00A67BA9">
              <w:rPr>
                <w:rFonts w:ascii="Times New Roman" w:hAnsi="Times New Roman"/>
                <w:i/>
                <w:iCs/>
                <w:kern w:val="0"/>
                <w:sz w:val="24"/>
                <w:szCs w:val="24"/>
                <w:lang w:val="de-DE"/>
              </w:rPr>
              <w:t>Allgemeiner Teil des Bürgerlichen Rechts</w:t>
            </w:r>
            <w:r w:rsidRPr="00A67BA9">
              <w:rPr>
                <w:rFonts w:ascii="Times New Roman" w:hAnsi="Times New Roman"/>
                <w:kern w:val="0"/>
                <w:sz w:val="24"/>
                <w:szCs w:val="24"/>
                <w:lang w:val="de-DE"/>
              </w:rPr>
              <w:t>, Verlag C.H. Beck, 2004</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AuthurHartkamp/MartijnHesselink/EwoudHondius (Edited), </w:t>
            </w:r>
            <w:r w:rsidRPr="00A67BA9">
              <w:rPr>
                <w:rFonts w:ascii="Times New Roman" w:hAnsi="Times New Roman"/>
                <w:i/>
                <w:iCs/>
                <w:kern w:val="0"/>
                <w:sz w:val="24"/>
                <w:szCs w:val="24"/>
              </w:rPr>
              <w:t>Towards a European Civil Code</w:t>
            </w:r>
            <w:r w:rsidRPr="00A67BA9">
              <w:rPr>
                <w:rFonts w:ascii="Times New Roman" w:hAnsi="Times New Roman"/>
                <w:kern w:val="0"/>
                <w:sz w:val="24"/>
                <w:szCs w:val="24"/>
              </w:rPr>
              <w:t>, Third Fully Revised and Expanded Edition, ArsAequiLibri, Nijmegen , Kluwer Law International 2004</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fr-CA"/>
              </w:rPr>
              <w:t xml:space="preserve">Jean Carbonnier, </w:t>
            </w:r>
            <w:r w:rsidRPr="00A67BA9">
              <w:rPr>
                <w:rFonts w:ascii="Times New Roman" w:hAnsi="Times New Roman"/>
                <w:i/>
                <w:iCs/>
                <w:kern w:val="0"/>
                <w:sz w:val="24"/>
                <w:szCs w:val="24"/>
                <w:lang w:val="fr-CA"/>
              </w:rPr>
              <w:t>Sociologie juridique</w:t>
            </w:r>
            <w:r w:rsidRPr="00A67BA9">
              <w:rPr>
                <w:rFonts w:ascii="Times New Roman" w:hAnsi="Times New Roman"/>
                <w:kern w:val="0"/>
                <w:sz w:val="24"/>
                <w:szCs w:val="24"/>
                <w:lang w:val="fr-CA"/>
              </w:rPr>
              <w:t>, PUF, 2004</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Lawrence M. Friedman, </w:t>
            </w:r>
            <w:r w:rsidRPr="00A67BA9">
              <w:rPr>
                <w:rFonts w:ascii="Times New Roman" w:hAnsi="Times New Roman"/>
                <w:i/>
                <w:iCs/>
                <w:kern w:val="0"/>
                <w:sz w:val="24"/>
                <w:szCs w:val="24"/>
              </w:rPr>
              <w:t>A History of American Law</w:t>
            </w:r>
            <w:r w:rsidRPr="00A67BA9">
              <w:rPr>
                <w:rFonts w:ascii="Times New Roman" w:hAnsi="Times New Roman"/>
                <w:kern w:val="0"/>
                <w:sz w:val="24"/>
                <w:szCs w:val="24"/>
              </w:rPr>
              <w:t>, Touchstone, 2005</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Reiner Schulze/Reinhard Zimmermann, </w:t>
            </w:r>
            <w:r w:rsidRPr="00A67BA9">
              <w:rPr>
                <w:rFonts w:ascii="Times New Roman" w:hAnsi="Times New Roman"/>
                <w:i/>
                <w:iCs/>
                <w:kern w:val="0"/>
                <w:sz w:val="24"/>
                <w:szCs w:val="24"/>
                <w:lang w:val="de-DE"/>
              </w:rPr>
              <w:t>Europaeische Privatrecht</w:t>
            </w:r>
            <w:r w:rsidRPr="00A67BA9">
              <w:rPr>
                <w:rFonts w:ascii="Times New Roman" w:hAnsi="Times New Roman"/>
                <w:kern w:val="0"/>
                <w:sz w:val="24"/>
                <w:szCs w:val="24"/>
                <w:lang w:val="de-DE"/>
              </w:rPr>
              <w:t>, 3. Auflage, Nomos Verlagsgesellschaft, Baden-Baden 2005</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Akhil R. Amar, </w:t>
            </w:r>
            <w:r w:rsidRPr="00A67BA9">
              <w:rPr>
                <w:rFonts w:ascii="Times New Roman" w:hAnsi="Times New Roman"/>
                <w:i/>
                <w:iCs/>
                <w:kern w:val="0"/>
                <w:sz w:val="24"/>
                <w:szCs w:val="24"/>
              </w:rPr>
              <w:t>America's Constitution: A Biography</w:t>
            </w:r>
            <w:r w:rsidRPr="00A67BA9">
              <w:rPr>
                <w:rFonts w:ascii="Times New Roman" w:hAnsi="Times New Roman"/>
                <w:kern w:val="0"/>
                <w:sz w:val="24"/>
                <w:szCs w:val="24"/>
              </w:rPr>
              <w:t>, Random House, 2006</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Mathias Reimann, Reinhard Zimmermann (eds.), </w:t>
            </w:r>
            <w:r w:rsidRPr="00A67BA9">
              <w:rPr>
                <w:rFonts w:ascii="Times New Roman" w:hAnsi="Times New Roman"/>
                <w:i/>
                <w:iCs/>
                <w:kern w:val="0"/>
                <w:sz w:val="24"/>
                <w:szCs w:val="24"/>
              </w:rPr>
              <w:t>The Oxford Handbook of Comparative Law</w:t>
            </w:r>
            <w:r w:rsidRPr="00A67BA9">
              <w:rPr>
                <w:rFonts w:ascii="Times New Roman" w:hAnsi="Times New Roman"/>
                <w:kern w:val="0"/>
                <w:sz w:val="24"/>
                <w:szCs w:val="24"/>
              </w:rPr>
              <w:t>, Oxford University Press, 2008</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Hartmut Mauer, </w:t>
            </w:r>
            <w:r w:rsidRPr="00A67BA9">
              <w:rPr>
                <w:rFonts w:ascii="Times New Roman" w:hAnsi="Times New Roman"/>
                <w:i/>
                <w:iCs/>
                <w:kern w:val="0"/>
                <w:sz w:val="24"/>
                <w:szCs w:val="24"/>
                <w:lang w:val="de-DE"/>
              </w:rPr>
              <w:t>Staatsrecht (Grundlagen, Verfassungsorgane, Staatsfunktionen)</w:t>
            </w:r>
            <w:r w:rsidRPr="00A67BA9">
              <w:rPr>
                <w:rFonts w:ascii="Times New Roman" w:hAnsi="Times New Roman"/>
                <w:kern w:val="0"/>
                <w:sz w:val="24"/>
                <w:szCs w:val="24"/>
                <w:lang w:val="de-DE"/>
              </w:rPr>
              <w:t>, Verlag C.H. Beck, 2008</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it-IT"/>
              </w:rPr>
              <w:t xml:space="preserve">A.Gambaro e R. Sacco, </w:t>
            </w:r>
            <w:r w:rsidRPr="00A67BA9">
              <w:rPr>
                <w:rFonts w:ascii="Times New Roman" w:hAnsi="Times New Roman"/>
                <w:i/>
                <w:iCs/>
                <w:kern w:val="0"/>
                <w:sz w:val="24"/>
                <w:szCs w:val="24"/>
                <w:lang w:val="it-IT"/>
              </w:rPr>
              <w:t>Sistemi giuridici comparati (Trattato di Diritto Comparato)</w:t>
            </w:r>
            <w:r w:rsidRPr="00A67BA9">
              <w:rPr>
                <w:rFonts w:ascii="Times New Roman" w:hAnsi="Times New Roman"/>
                <w:kern w:val="0"/>
                <w:sz w:val="24"/>
                <w:szCs w:val="24"/>
                <w:lang w:val="it-IT"/>
              </w:rPr>
              <w:t>, Torino, UTET Giuridica,III, 2008</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ru-RU"/>
              </w:rPr>
              <w:t xml:space="preserve">Скакун О.Ф. </w:t>
            </w:r>
            <w:r w:rsidRPr="00A67BA9">
              <w:rPr>
                <w:rFonts w:ascii="Times New Roman" w:hAnsi="Times New Roman"/>
                <w:i/>
                <w:iCs/>
                <w:kern w:val="0"/>
                <w:sz w:val="24"/>
                <w:szCs w:val="24"/>
                <w:lang w:val="ru-RU"/>
              </w:rPr>
              <w:t>Общее сравнительное правоведение: Основные типы (семьи) правовых систем мира.</w:t>
            </w:r>
            <w:r w:rsidRPr="00A67BA9">
              <w:rPr>
                <w:rFonts w:ascii="Times New Roman" w:hAnsi="Times New Roman"/>
                <w:kern w:val="0"/>
                <w:sz w:val="24"/>
                <w:szCs w:val="24"/>
                <w:lang w:val="ru-RU"/>
              </w:rPr>
              <w:t xml:space="preserve"> –Юре, 2008</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de-DE"/>
              </w:rPr>
            </w:pPr>
            <w:r w:rsidRPr="00A67BA9">
              <w:rPr>
                <w:rFonts w:ascii="Times New Roman" w:hAnsi="Times New Roman"/>
                <w:kern w:val="0"/>
                <w:sz w:val="24"/>
                <w:szCs w:val="24"/>
                <w:lang w:val="de-DE"/>
              </w:rPr>
              <w:t xml:space="preserve">Hartmut Mauer, </w:t>
            </w:r>
            <w:r w:rsidRPr="00A67BA9">
              <w:rPr>
                <w:rFonts w:ascii="Times New Roman" w:hAnsi="Times New Roman"/>
                <w:i/>
                <w:iCs/>
                <w:kern w:val="0"/>
                <w:sz w:val="24"/>
                <w:szCs w:val="24"/>
                <w:lang w:val="de-DE"/>
              </w:rPr>
              <w:t>Allgemeines Verwaltungsrecht</w:t>
            </w:r>
            <w:r w:rsidRPr="00A67BA9">
              <w:rPr>
                <w:rFonts w:ascii="Times New Roman" w:hAnsi="Times New Roman"/>
                <w:kern w:val="0"/>
                <w:sz w:val="24"/>
                <w:szCs w:val="24"/>
                <w:lang w:val="de-DE"/>
              </w:rPr>
              <w:t>, Verlag C.H.Beck, 2009;</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lang w:val="it-IT"/>
              </w:rPr>
            </w:pPr>
            <w:r w:rsidRPr="00A67BA9">
              <w:rPr>
                <w:rFonts w:ascii="Times New Roman" w:hAnsi="Times New Roman"/>
                <w:kern w:val="0"/>
                <w:sz w:val="24"/>
                <w:szCs w:val="24"/>
                <w:lang w:val="fr-CA"/>
              </w:rPr>
              <w:t xml:space="preserve">Yves-Marie Laithier, </w:t>
            </w:r>
            <w:r w:rsidRPr="00A67BA9">
              <w:rPr>
                <w:rFonts w:ascii="Times New Roman" w:hAnsi="Times New Roman"/>
                <w:i/>
                <w:iCs/>
                <w:kern w:val="0"/>
                <w:sz w:val="24"/>
                <w:szCs w:val="24"/>
                <w:lang w:val="fr-CA"/>
              </w:rPr>
              <w:t>Droit comparé</w:t>
            </w:r>
            <w:r w:rsidRPr="00A67BA9">
              <w:rPr>
                <w:rFonts w:ascii="Times New Roman" w:hAnsi="Times New Roman"/>
                <w:kern w:val="0"/>
                <w:sz w:val="24"/>
                <w:szCs w:val="24"/>
                <w:lang w:val="fr-CA"/>
              </w:rPr>
              <w:t>, Dalloz, 2009</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Theodore F.T. Plucknett, </w:t>
            </w:r>
            <w:r w:rsidRPr="00A67BA9">
              <w:rPr>
                <w:rFonts w:ascii="Times New Roman" w:hAnsi="Times New Roman"/>
                <w:i/>
                <w:iCs/>
                <w:kern w:val="0"/>
                <w:sz w:val="24"/>
                <w:szCs w:val="24"/>
              </w:rPr>
              <w:t>A Concise History of the Common Law,</w:t>
            </w:r>
            <w:r w:rsidRPr="00A67BA9">
              <w:rPr>
                <w:rFonts w:ascii="Times New Roman" w:hAnsi="Times New Roman"/>
                <w:kern w:val="0"/>
                <w:sz w:val="24"/>
                <w:szCs w:val="24"/>
              </w:rPr>
              <w:t xml:space="preserve"> The Lawbook Exchange, 2010</w:t>
            </w:r>
          </w:p>
          <w:p w:rsidR="003F1810" w:rsidRPr="00A67BA9" w:rsidRDefault="003F1810" w:rsidP="00FD6419">
            <w:pPr>
              <w:widowControl/>
              <w:numPr>
                <w:ilvl w:val="0"/>
                <w:numId w:val="1"/>
              </w:numPr>
              <w:tabs>
                <w:tab w:val="left" w:pos="453"/>
                <w:tab w:val="left" w:pos="549"/>
              </w:tabs>
              <w:jc w:val="left"/>
              <w:rPr>
                <w:rFonts w:ascii="Times New Roman" w:hAnsi="Times New Roman"/>
                <w:kern w:val="0"/>
                <w:sz w:val="24"/>
                <w:szCs w:val="24"/>
              </w:rPr>
            </w:pPr>
            <w:r w:rsidRPr="00A67BA9">
              <w:rPr>
                <w:rFonts w:ascii="Times New Roman" w:hAnsi="Times New Roman"/>
                <w:kern w:val="0"/>
                <w:sz w:val="24"/>
                <w:szCs w:val="24"/>
              </w:rPr>
              <w:t xml:space="preserve">Ronald Dworkin, </w:t>
            </w:r>
            <w:r w:rsidRPr="00A67BA9">
              <w:rPr>
                <w:rFonts w:ascii="Times New Roman" w:hAnsi="Times New Roman"/>
                <w:i/>
                <w:iCs/>
                <w:kern w:val="0"/>
                <w:sz w:val="24"/>
                <w:szCs w:val="24"/>
              </w:rPr>
              <w:t>Justice for Hedgehogs</w:t>
            </w:r>
            <w:r w:rsidRPr="00A67BA9">
              <w:rPr>
                <w:rFonts w:ascii="Times New Roman" w:hAnsi="Times New Roman"/>
                <w:kern w:val="0"/>
                <w:sz w:val="24"/>
                <w:szCs w:val="24"/>
              </w:rPr>
              <w:t>, Harvard University Press, 2011</w:t>
            </w:r>
          </w:p>
          <w:p w:rsidR="003F1810" w:rsidRPr="00A67BA9" w:rsidRDefault="003F1810" w:rsidP="00FD6419">
            <w:pPr>
              <w:widowControl/>
              <w:numPr>
                <w:ilvl w:val="0"/>
                <w:numId w:val="1"/>
              </w:numPr>
              <w:tabs>
                <w:tab w:val="left" w:pos="453"/>
                <w:tab w:val="left" w:pos="549"/>
              </w:tabs>
              <w:jc w:val="left"/>
              <w:rPr>
                <w:kern w:val="0"/>
              </w:rPr>
            </w:pPr>
            <w:r w:rsidRPr="00A67BA9">
              <w:rPr>
                <w:rFonts w:ascii="Times New Roman" w:hAnsi="Times New Roman"/>
                <w:kern w:val="0"/>
                <w:sz w:val="24"/>
                <w:szCs w:val="24"/>
              </w:rPr>
              <w:t xml:space="preserve">Scott J. Shapiro, </w:t>
            </w:r>
            <w:r w:rsidRPr="00A67BA9">
              <w:rPr>
                <w:rFonts w:ascii="Times New Roman" w:hAnsi="Times New Roman"/>
                <w:i/>
                <w:iCs/>
                <w:kern w:val="0"/>
                <w:sz w:val="24"/>
                <w:szCs w:val="24"/>
              </w:rPr>
              <w:t>Legality</w:t>
            </w:r>
            <w:r w:rsidRPr="00A67BA9">
              <w:rPr>
                <w:rFonts w:ascii="Times New Roman" w:hAnsi="Times New Roman"/>
                <w:kern w:val="0"/>
                <w:sz w:val="24"/>
                <w:szCs w:val="24"/>
              </w:rPr>
              <w:t>, Harvard University Press, 2011</w:t>
            </w:r>
          </w:p>
          <w:p w:rsidR="003F1810" w:rsidRPr="00A67BA9" w:rsidRDefault="003F1810" w:rsidP="00FD6419">
            <w:pPr>
              <w:widowControl/>
              <w:tabs>
                <w:tab w:val="left" w:pos="549"/>
              </w:tabs>
              <w:ind w:left="453"/>
              <w:jc w:val="left"/>
              <w:rPr>
                <w:kern w:val="0"/>
              </w:rPr>
            </w:pPr>
          </w:p>
        </w:tc>
      </w:tr>
    </w:tbl>
    <w:p w:rsidR="008A342A" w:rsidRPr="00A67BA9" w:rsidRDefault="008A342A"/>
    <w:p w:rsidR="003F1810" w:rsidRPr="00A67BA9" w:rsidRDefault="003F1810" w:rsidP="003F1810">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A67BA9">
        <w:rPr>
          <w:rFonts w:ascii="Times New Roman" w:eastAsia="仿宋_GB2312" w:hAnsi="Times New Roman"/>
          <w:sz w:val="28"/>
          <w:szCs w:val="28"/>
        </w:rPr>
        <w:t>学位评定分委员会主任签字：</w:t>
      </w:r>
    </w:p>
    <w:p w:rsidR="00A67BA9" w:rsidRPr="00A67BA9" w:rsidRDefault="003F1810" w:rsidP="003F1810">
      <w:pPr>
        <w:jc w:val="right"/>
        <w:rPr>
          <w:rFonts w:ascii="Times New Roman" w:eastAsia="仿宋_GB2312" w:hAnsi="Times New Roman"/>
          <w:sz w:val="28"/>
          <w:szCs w:val="28"/>
        </w:rPr>
        <w:sectPr w:rsidR="00A67BA9" w:rsidRPr="00A67BA9" w:rsidSect="0030489E">
          <w:pgSz w:w="11906" w:h="16838"/>
          <w:pgMar w:top="1440" w:right="1800" w:bottom="1440" w:left="1800" w:header="851" w:footer="992" w:gutter="0"/>
          <w:cols w:space="425"/>
          <w:docGrid w:type="lines" w:linePitch="312"/>
        </w:sectPr>
      </w:pPr>
      <w:r w:rsidRPr="00A67BA9">
        <w:rPr>
          <w:rFonts w:ascii="Times New Roman" w:eastAsia="仿宋_GB2312" w:hAnsi="Times New Roman"/>
          <w:sz w:val="28"/>
          <w:szCs w:val="28"/>
        </w:rPr>
        <w:t>年月日</w:t>
      </w:r>
    </w:p>
    <w:p w:rsidR="00A67BA9" w:rsidRPr="00A67BA9" w:rsidRDefault="00A67BA9" w:rsidP="00A67BA9">
      <w:pPr>
        <w:jc w:val="center"/>
        <w:rPr>
          <w:rFonts w:ascii="Times New Roman" w:eastAsia="黑体" w:hAnsi="Times New Roman"/>
          <w:sz w:val="24"/>
        </w:rPr>
      </w:pPr>
      <w:r w:rsidRPr="00A67BA9">
        <w:rPr>
          <w:rFonts w:ascii="Times New Roman" w:eastAsia="黑体" w:hAnsi="Times New Roman" w:hint="eastAsia"/>
          <w:sz w:val="24"/>
        </w:rPr>
        <w:lastRenderedPageBreak/>
        <w:t>比较法学专业攻读硕士学位研究生</w:t>
      </w:r>
    </w:p>
    <w:p w:rsidR="00A67BA9" w:rsidRPr="00A67BA9" w:rsidRDefault="00A67BA9" w:rsidP="00A67BA9">
      <w:pPr>
        <w:jc w:val="center"/>
      </w:pPr>
      <w:r w:rsidRPr="00A67BA9">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840"/>
        <w:gridCol w:w="2271"/>
        <w:gridCol w:w="1482"/>
        <w:gridCol w:w="1700"/>
        <w:gridCol w:w="709"/>
        <w:gridCol w:w="709"/>
        <w:gridCol w:w="709"/>
        <w:gridCol w:w="1211"/>
        <w:gridCol w:w="992"/>
        <w:gridCol w:w="1699"/>
      </w:tblGrid>
      <w:tr w:rsidR="00A67BA9" w:rsidRPr="00A67BA9" w:rsidTr="00FD6419">
        <w:trPr>
          <w:trHeight w:val="922"/>
          <w:jc w:val="center"/>
        </w:trPr>
        <w:tc>
          <w:tcPr>
            <w:tcW w:w="2907" w:type="dxa"/>
            <w:gridSpan w:val="2"/>
            <w:vAlign w:val="center"/>
          </w:tcPr>
          <w:p w:rsidR="00A67BA9" w:rsidRPr="00A67BA9" w:rsidRDefault="00A67BA9" w:rsidP="00FD6419">
            <w:pPr>
              <w:jc w:val="center"/>
              <w:rPr>
                <w:rFonts w:ascii="仿宋_GB2312" w:eastAsia="仿宋_GB2312" w:hAnsi="仿宋"/>
                <w:b/>
                <w:sz w:val="24"/>
                <w:szCs w:val="24"/>
              </w:rPr>
            </w:pPr>
            <w:r w:rsidRPr="00A67BA9">
              <w:rPr>
                <w:rFonts w:ascii="仿宋_GB2312" w:eastAsia="仿宋_GB2312" w:hAnsi="仿宋" w:hint="eastAsia"/>
                <w:b/>
                <w:sz w:val="24"/>
                <w:szCs w:val="24"/>
              </w:rPr>
              <w:t>类 别</w:t>
            </w:r>
          </w:p>
        </w:tc>
        <w:tc>
          <w:tcPr>
            <w:tcW w:w="2271" w:type="dxa"/>
            <w:vAlign w:val="center"/>
          </w:tcPr>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课程名称</w:t>
            </w:r>
          </w:p>
        </w:tc>
        <w:tc>
          <w:tcPr>
            <w:tcW w:w="1482" w:type="dxa"/>
            <w:vAlign w:val="center"/>
          </w:tcPr>
          <w:p w:rsidR="00A67BA9" w:rsidRPr="00A67BA9" w:rsidRDefault="00A67BA9" w:rsidP="00FD6419">
            <w:pPr>
              <w:jc w:val="center"/>
              <w:rPr>
                <w:rFonts w:ascii="仿宋_GB2312" w:eastAsia="仿宋_GB2312" w:hAnsi="仿宋"/>
                <w:b/>
                <w:sz w:val="24"/>
                <w:szCs w:val="24"/>
              </w:rPr>
            </w:pPr>
            <w:r w:rsidRPr="00A67BA9">
              <w:rPr>
                <w:rFonts w:ascii="仿宋_GB2312" w:eastAsia="仿宋_GB2312" w:hAnsi="仿宋" w:hint="eastAsia"/>
                <w:b/>
                <w:sz w:val="24"/>
                <w:szCs w:val="24"/>
              </w:rPr>
              <w:t>课程门数</w:t>
            </w:r>
          </w:p>
        </w:tc>
        <w:tc>
          <w:tcPr>
            <w:tcW w:w="1700" w:type="dxa"/>
            <w:vAlign w:val="center"/>
          </w:tcPr>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课程代码</w:t>
            </w:r>
          </w:p>
        </w:tc>
        <w:tc>
          <w:tcPr>
            <w:tcW w:w="709" w:type="dxa"/>
            <w:vAlign w:val="center"/>
          </w:tcPr>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学分</w:t>
            </w:r>
          </w:p>
        </w:tc>
        <w:tc>
          <w:tcPr>
            <w:tcW w:w="709" w:type="dxa"/>
            <w:vAlign w:val="center"/>
          </w:tcPr>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学时</w:t>
            </w:r>
          </w:p>
        </w:tc>
        <w:tc>
          <w:tcPr>
            <w:tcW w:w="709" w:type="dxa"/>
            <w:vAlign w:val="center"/>
          </w:tcPr>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开课</w:t>
            </w:r>
          </w:p>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学期</w:t>
            </w:r>
          </w:p>
        </w:tc>
        <w:tc>
          <w:tcPr>
            <w:tcW w:w="1211" w:type="dxa"/>
            <w:vAlign w:val="center"/>
          </w:tcPr>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教学</w:t>
            </w:r>
          </w:p>
          <w:p w:rsidR="00A67BA9" w:rsidRPr="00A67BA9" w:rsidRDefault="00A67BA9" w:rsidP="00FD6419">
            <w:pPr>
              <w:ind w:left="-57" w:right="-57"/>
              <w:jc w:val="center"/>
              <w:rPr>
                <w:rFonts w:ascii="仿宋_GB2312" w:eastAsia="仿宋_GB2312" w:hAnsi="仿宋"/>
                <w:b/>
                <w:sz w:val="24"/>
                <w:szCs w:val="24"/>
              </w:rPr>
            </w:pPr>
            <w:r w:rsidRPr="00A67BA9">
              <w:rPr>
                <w:rFonts w:ascii="仿宋_GB2312" w:eastAsia="仿宋_GB2312" w:hAnsi="仿宋" w:hint="eastAsia"/>
                <w:b/>
                <w:sz w:val="24"/>
                <w:szCs w:val="24"/>
              </w:rPr>
              <w:t>方式</w:t>
            </w:r>
          </w:p>
        </w:tc>
        <w:tc>
          <w:tcPr>
            <w:tcW w:w="992" w:type="dxa"/>
            <w:vAlign w:val="center"/>
          </w:tcPr>
          <w:p w:rsidR="00A67BA9" w:rsidRPr="00A67BA9" w:rsidRDefault="00A67BA9" w:rsidP="00FD6419">
            <w:pPr>
              <w:ind w:left="-57" w:right="-57"/>
              <w:jc w:val="center"/>
              <w:rPr>
                <w:rFonts w:ascii="仿宋_GB2312" w:eastAsia="仿宋_GB2312" w:hAnsi="仿宋"/>
                <w:b/>
                <w:kern w:val="24"/>
                <w:sz w:val="24"/>
                <w:szCs w:val="24"/>
              </w:rPr>
            </w:pPr>
            <w:r w:rsidRPr="00A67BA9">
              <w:rPr>
                <w:rFonts w:ascii="仿宋_GB2312" w:eastAsia="仿宋_GB2312" w:hAnsi="仿宋" w:hint="eastAsia"/>
                <w:b/>
                <w:kern w:val="24"/>
                <w:sz w:val="24"/>
                <w:szCs w:val="24"/>
              </w:rPr>
              <w:t>考核</w:t>
            </w:r>
          </w:p>
          <w:p w:rsidR="00A67BA9" w:rsidRPr="00A67BA9" w:rsidRDefault="00A67BA9" w:rsidP="00FD6419">
            <w:pPr>
              <w:ind w:left="-57" w:right="-57"/>
              <w:jc w:val="center"/>
              <w:rPr>
                <w:rFonts w:ascii="仿宋_GB2312" w:eastAsia="仿宋_GB2312" w:hAnsi="仿宋"/>
                <w:b/>
                <w:kern w:val="24"/>
                <w:sz w:val="24"/>
                <w:szCs w:val="24"/>
              </w:rPr>
            </w:pPr>
            <w:r w:rsidRPr="00A67BA9">
              <w:rPr>
                <w:rFonts w:ascii="仿宋_GB2312" w:eastAsia="仿宋_GB2312" w:hAnsi="仿宋" w:hint="eastAsia"/>
                <w:b/>
                <w:kern w:val="24"/>
                <w:sz w:val="24"/>
                <w:szCs w:val="24"/>
              </w:rPr>
              <w:t>方式</w:t>
            </w:r>
          </w:p>
        </w:tc>
        <w:tc>
          <w:tcPr>
            <w:tcW w:w="1699" w:type="dxa"/>
            <w:vAlign w:val="center"/>
          </w:tcPr>
          <w:p w:rsidR="00A67BA9" w:rsidRPr="00A67BA9" w:rsidRDefault="00A67BA9" w:rsidP="00FD6419">
            <w:pPr>
              <w:jc w:val="center"/>
              <w:rPr>
                <w:rFonts w:ascii="仿宋_GB2312" w:eastAsia="仿宋_GB2312" w:hAnsi="仿宋"/>
                <w:b/>
                <w:sz w:val="24"/>
                <w:szCs w:val="24"/>
              </w:rPr>
            </w:pPr>
            <w:r w:rsidRPr="00A67BA9">
              <w:rPr>
                <w:rFonts w:ascii="仿宋_GB2312" w:eastAsia="仿宋_GB2312" w:hAnsi="仿宋" w:hint="eastAsia"/>
                <w:b/>
                <w:sz w:val="24"/>
                <w:szCs w:val="24"/>
              </w:rPr>
              <w:t>备  注</w:t>
            </w:r>
          </w:p>
        </w:tc>
      </w:tr>
      <w:tr w:rsidR="00A67BA9" w:rsidRPr="00A67BA9" w:rsidTr="00FD6419">
        <w:trPr>
          <w:cantSplit/>
          <w:trHeight w:val="775"/>
          <w:jc w:val="center"/>
        </w:trPr>
        <w:tc>
          <w:tcPr>
            <w:tcW w:w="1067" w:type="dxa"/>
            <w:vMerge w:val="restart"/>
            <w:textDirection w:val="tbRlV"/>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学位课程</w:t>
            </w:r>
          </w:p>
        </w:tc>
        <w:tc>
          <w:tcPr>
            <w:tcW w:w="1840" w:type="dxa"/>
            <w:vMerge w:val="restart"/>
            <w:textDirection w:val="tbRlV"/>
            <w:vAlign w:val="center"/>
          </w:tcPr>
          <w:p w:rsidR="00A67BA9" w:rsidRPr="00A67BA9" w:rsidRDefault="00A67BA9" w:rsidP="00FD6419">
            <w:pPr>
              <w:ind w:left="113" w:right="113"/>
              <w:jc w:val="center"/>
              <w:rPr>
                <w:rFonts w:ascii="仿宋_GB2312" w:eastAsia="仿宋_GB2312" w:hAnsi="仿宋"/>
                <w:sz w:val="24"/>
                <w:szCs w:val="24"/>
              </w:rPr>
            </w:pPr>
            <w:r w:rsidRPr="00A67BA9">
              <w:rPr>
                <w:rFonts w:ascii="仿宋_GB2312" w:eastAsia="仿宋_GB2312" w:hAnsi="仿宋" w:hint="eastAsia"/>
                <w:sz w:val="24"/>
                <w:szCs w:val="24"/>
              </w:rPr>
              <w:t>学位公共课</w:t>
            </w:r>
          </w:p>
        </w:tc>
        <w:tc>
          <w:tcPr>
            <w:tcW w:w="2271" w:type="dxa"/>
            <w:vAlign w:val="center"/>
          </w:tcPr>
          <w:p w:rsidR="00A67BA9" w:rsidRPr="00A67BA9" w:rsidRDefault="00A67BA9" w:rsidP="00FD6419">
            <w:pPr>
              <w:adjustRightInd w:val="0"/>
              <w:snapToGrid w:val="0"/>
              <w:jc w:val="left"/>
              <w:rPr>
                <w:rFonts w:ascii="仿宋_GB2312" w:eastAsia="仿宋_GB2312" w:hAnsi="仿宋"/>
                <w:sz w:val="24"/>
                <w:szCs w:val="24"/>
              </w:rPr>
            </w:pPr>
            <w:r w:rsidRPr="00A67BA9">
              <w:rPr>
                <w:rFonts w:ascii="仿宋_GB2312" w:eastAsia="仿宋_GB2312" w:hAnsi="仿宋" w:hint="eastAsia"/>
                <w:sz w:val="24"/>
                <w:szCs w:val="24"/>
              </w:rPr>
              <w:t>中国特色社会主义理论与实践</w:t>
            </w:r>
          </w:p>
        </w:tc>
        <w:tc>
          <w:tcPr>
            <w:tcW w:w="1482" w:type="dxa"/>
            <w:tcBorders>
              <w:bottom w:val="single" w:sz="4" w:space="0" w:color="auto"/>
            </w:tcBorders>
            <w:vAlign w:val="center"/>
          </w:tcPr>
          <w:p w:rsidR="00A67BA9" w:rsidRPr="00A67BA9" w:rsidRDefault="00A67BA9" w:rsidP="00FD6419">
            <w:pPr>
              <w:adjustRightInd w:val="0"/>
              <w:snapToGrid w:val="0"/>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700" w:type="dxa"/>
            <w:tcBorders>
              <w:bottom w:val="single" w:sz="4" w:space="0" w:color="auto"/>
            </w:tcBorders>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tcBorders>
              <w:bottom w:val="single" w:sz="4" w:space="0" w:color="auto"/>
            </w:tcBorders>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tcBorders>
              <w:bottom w:val="single" w:sz="4" w:space="0" w:color="auto"/>
            </w:tcBorders>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tcBorders>
              <w:bottom w:val="single" w:sz="4" w:space="0" w:color="auto"/>
            </w:tcBorders>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tcBorders>
              <w:bottom w:val="single" w:sz="4" w:space="0" w:color="auto"/>
            </w:tcBorders>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tcBorders>
              <w:bottom w:val="single" w:sz="4" w:space="0" w:color="auto"/>
            </w:tcBorders>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tcBorders>
              <w:bottom w:val="single" w:sz="4" w:space="0" w:color="auto"/>
            </w:tcBorders>
            <w:vAlign w:val="center"/>
          </w:tcPr>
          <w:p w:rsidR="00A67BA9" w:rsidRPr="00A67BA9" w:rsidRDefault="00A67BA9" w:rsidP="00FD6419">
            <w:pPr>
              <w:jc w:val="left"/>
              <w:rPr>
                <w:rFonts w:ascii="仿宋_GB2312" w:eastAsia="仿宋_GB2312" w:hAnsi="仿宋"/>
                <w:sz w:val="24"/>
                <w:szCs w:val="24"/>
              </w:rPr>
            </w:pPr>
          </w:p>
        </w:tc>
      </w:tr>
      <w:tr w:rsidR="00A67BA9" w:rsidRPr="00A67BA9" w:rsidTr="00FD6419">
        <w:trPr>
          <w:cantSplit/>
          <w:trHeight w:val="913"/>
          <w:jc w:val="center"/>
        </w:trPr>
        <w:tc>
          <w:tcPr>
            <w:tcW w:w="1067" w:type="dxa"/>
            <w:vMerge/>
            <w:textDirection w:val="tbRlV"/>
            <w:vAlign w:val="center"/>
          </w:tcPr>
          <w:p w:rsidR="00A67BA9" w:rsidRPr="00A67BA9" w:rsidRDefault="00A67BA9" w:rsidP="00FD6419">
            <w:pPr>
              <w:jc w:val="center"/>
              <w:rPr>
                <w:rFonts w:ascii="仿宋_GB2312" w:eastAsia="仿宋_GB2312" w:hAnsi="仿宋"/>
                <w:sz w:val="24"/>
                <w:szCs w:val="24"/>
              </w:rPr>
            </w:pPr>
          </w:p>
        </w:tc>
        <w:tc>
          <w:tcPr>
            <w:tcW w:w="1840" w:type="dxa"/>
            <w:vMerge/>
            <w:vAlign w:val="center"/>
          </w:tcPr>
          <w:p w:rsidR="00A67BA9" w:rsidRPr="00A67BA9" w:rsidRDefault="00A67BA9" w:rsidP="00FD6419">
            <w:pPr>
              <w:jc w:val="center"/>
              <w:rPr>
                <w:rFonts w:ascii="仿宋_GB2312" w:eastAsia="仿宋_GB2312" w:hAnsi="仿宋"/>
                <w:sz w:val="24"/>
                <w:szCs w:val="24"/>
              </w:rPr>
            </w:pPr>
          </w:p>
        </w:tc>
        <w:tc>
          <w:tcPr>
            <w:tcW w:w="2271" w:type="dxa"/>
            <w:vAlign w:val="center"/>
          </w:tcPr>
          <w:p w:rsidR="00A67BA9" w:rsidRPr="00A67BA9" w:rsidRDefault="00A67BA9" w:rsidP="00FD6419">
            <w:pPr>
              <w:snapToGrid w:val="0"/>
              <w:jc w:val="left"/>
              <w:rPr>
                <w:rFonts w:ascii="仿宋_GB2312" w:eastAsia="仿宋_GB2312" w:hAnsi="仿宋"/>
                <w:sz w:val="24"/>
                <w:szCs w:val="24"/>
              </w:rPr>
            </w:pPr>
            <w:r w:rsidRPr="00A67BA9">
              <w:rPr>
                <w:rFonts w:ascii="仿宋_GB2312" w:eastAsia="仿宋_GB2312" w:hAnsi="仿宋" w:hint="eastAsia"/>
                <w:sz w:val="24"/>
                <w:szCs w:val="24"/>
              </w:rPr>
              <w:t>马克思主义与社会科学方法论</w:t>
            </w:r>
          </w:p>
        </w:tc>
        <w:tc>
          <w:tcPr>
            <w:tcW w:w="1482" w:type="dxa"/>
            <w:tcBorders>
              <w:bottom w:val="single" w:sz="4" w:space="0" w:color="auto"/>
            </w:tcBorders>
            <w:vAlign w:val="center"/>
          </w:tcPr>
          <w:p w:rsidR="00A67BA9" w:rsidRPr="00A67BA9" w:rsidRDefault="00A67BA9" w:rsidP="00FD6419">
            <w:pPr>
              <w:snapToGrid w:val="0"/>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700" w:type="dxa"/>
            <w:tcBorders>
              <w:bottom w:val="single" w:sz="4" w:space="0" w:color="auto"/>
            </w:tcBorders>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tcBorders>
              <w:bottom w:val="single" w:sz="4" w:space="0" w:color="auto"/>
            </w:tcBorders>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709" w:type="dxa"/>
            <w:tcBorders>
              <w:bottom w:val="single" w:sz="4" w:space="0" w:color="auto"/>
            </w:tcBorders>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18</w:t>
            </w:r>
          </w:p>
        </w:tc>
        <w:tc>
          <w:tcPr>
            <w:tcW w:w="709" w:type="dxa"/>
            <w:tcBorders>
              <w:bottom w:val="single" w:sz="4" w:space="0" w:color="auto"/>
            </w:tcBorders>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tcBorders>
              <w:bottom w:val="single" w:sz="4" w:space="0" w:color="auto"/>
            </w:tcBorders>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tcBorders>
              <w:bottom w:val="single" w:sz="4" w:space="0" w:color="auto"/>
            </w:tcBorders>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tcBorders>
              <w:bottom w:val="single" w:sz="4" w:space="0" w:color="auto"/>
            </w:tcBorders>
            <w:vAlign w:val="center"/>
          </w:tcPr>
          <w:p w:rsidR="00A67BA9" w:rsidRPr="00A67BA9" w:rsidRDefault="00A67BA9" w:rsidP="00FD6419">
            <w:pPr>
              <w:jc w:val="left"/>
              <w:rPr>
                <w:rFonts w:ascii="仿宋_GB2312" w:eastAsia="仿宋_GB2312" w:hAnsi="仿宋"/>
                <w:sz w:val="24"/>
                <w:szCs w:val="24"/>
              </w:rPr>
            </w:pPr>
          </w:p>
        </w:tc>
      </w:tr>
      <w:tr w:rsidR="00A67BA9" w:rsidRPr="00A67BA9" w:rsidTr="00FD6419">
        <w:trPr>
          <w:cantSplit/>
          <w:trHeight w:val="550"/>
          <w:jc w:val="center"/>
        </w:trPr>
        <w:tc>
          <w:tcPr>
            <w:tcW w:w="1067" w:type="dxa"/>
            <w:vMerge/>
            <w:textDirection w:val="tbRlV"/>
            <w:vAlign w:val="center"/>
          </w:tcPr>
          <w:p w:rsidR="00A67BA9" w:rsidRPr="00A67BA9" w:rsidRDefault="00A67BA9" w:rsidP="00FD6419">
            <w:pPr>
              <w:jc w:val="center"/>
              <w:rPr>
                <w:rFonts w:ascii="仿宋_GB2312" w:eastAsia="仿宋_GB2312" w:hAnsi="仿宋"/>
                <w:sz w:val="24"/>
                <w:szCs w:val="24"/>
              </w:rPr>
            </w:pPr>
          </w:p>
        </w:tc>
        <w:tc>
          <w:tcPr>
            <w:tcW w:w="1840" w:type="dxa"/>
            <w:vMerge/>
            <w:vAlign w:val="center"/>
          </w:tcPr>
          <w:p w:rsidR="00A67BA9" w:rsidRPr="00A67BA9" w:rsidRDefault="00A67BA9" w:rsidP="00FD6419">
            <w:pPr>
              <w:jc w:val="center"/>
              <w:rPr>
                <w:rFonts w:ascii="仿宋_GB2312" w:eastAsia="仿宋_GB2312" w:hAnsi="仿宋"/>
                <w:sz w:val="24"/>
                <w:szCs w:val="24"/>
              </w:rPr>
            </w:pPr>
          </w:p>
        </w:tc>
        <w:tc>
          <w:tcPr>
            <w:tcW w:w="2271" w:type="dxa"/>
            <w:vAlign w:val="center"/>
          </w:tcPr>
          <w:p w:rsidR="00A67BA9" w:rsidRPr="00A67BA9" w:rsidRDefault="00A67BA9" w:rsidP="00FD6419">
            <w:pPr>
              <w:snapToGrid w:val="0"/>
              <w:jc w:val="left"/>
              <w:rPr>
                <w:rFonts w:ascii="仿宋_GB2312" w:eastAsia="仿宋_GB2312" w:hAnsi="仿宋"/>
                <w:sz w:val="24"/>
                <w:szCs w:val="24"/>
              </w:rPr>
            </w:pPr>
            <w:r w:rsidRPr="00A67BA9">
              <w:rPr>
                <w:rFonts w:ascii="仿宋_GB2312" w:eastAsia="仿宋_GB2312" w:hAnsi="仿宋" w:hint="eastAsia"/>
                <w:sz w:val="24"/>
                <w:szCs w:val="24"/>
              </w:rPr>
              <w:t>第一外国语（英、德、意、日、俄）</w:t>
            </w:r>
          </w:p>
        </w:tc>
        <w:tc>
          <w:tcPr>
            <w:tcW w:w="1482" w:type="dxa"/>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72</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snapToGrid w:val="0"/>
              <w:jc w:val="left"/>
              <w:rPr>
                <w:rFonts w:ascii="仿宋_GB2312" w:eastAsia="仿宋_GB2312" w:hAnsi="仿宋"/>
                <w:sz w:val="24"/>
                <w:szCs w:val="24"/>
              </w:rPr>
            </w:pPr>
          </w:p>
        </w:tc>
      </w:tr>
      <w:tr w:rsidR="00A67BA9" w:rsidRPr="00A67BA9" w:rsidTr="00FD6419">
        <w:trPr>
          <w:cantSplit/>
          <w:trHeight w:val="550"/>
          <w:jc w:val="center"/>
        </w:trPr>
        <w:tc>
          <w:tcPr>
            <w:tcW w:w="1067" w:type="dxa"/>
            <w:vMerge/>
            <w:textDirection w:val="tbRlV"/>
            <w:vAlign w:val="center"/>
          </w:tcPr>
          <w:p w:rsidR="00A67BA9" w:rsidRPr="00A67BA9" w:rsidRDefault="00A67BA9" w:rsidP="00FD6419">
            <w:pPr>
              <w:jc w:val="center"/>
              <w:rPr>
                <w:rFonts w:ascii="仿宋_GB2312" w:eastAsia="仿宋_GB2312" w:hAnsi="仿宋"/>
                <w:sz w:val="24"/>
                <w:szCs w:val="24"/>
              </w:rPr>
            </w:pPr>
          </w:p>
        </w:tc>
        <w:tc>
          <w:tcPr>
            <w:tcW w:w="1840" w:type="dxa"/>
            <w:vMerge/>
            <w:vAlign w:val="center"/>
          </w:tcPr>
          <w:p w:rsidR="00A67BA9" w:rsidRPr="00A67BA9" w:rsidRDefault="00A67BA9" w:rsidP="00FD6419">
            <w:pPr>
              <w:jc w:val="center"/>
              <w:rPr>
                <w:rFonts w:ascii="仿宋_GB2312" w:eastAsia="仿宋_GB2312" w:hAnsi="仿宋"/>
                <w:sz w:val="24"/>
                <w:szCs w:val="24"/>
              </w:rPr>
            </w:pPr>
          </w:p>
        </w:tc>
        <w:tc>
          <w:tcPr>
            <w:tcW w:w="2271" w:type="dxa"/>
            <w:vAlign w:val="center"/>
          </w:tcPr>
          <w:p w:rsidR="00A67BA9" w:rsidRPr="00A67BA9" w:rsidRDefault="00A67BA9" w:rsidP="00FD6419">
            <w:pPr>
              <w:snapToGrid w:val="0"/>
              <w:jc w:val="left"/>
              <w:rPr>
                <w:rFonts w:ascii="仿宋_GB2312" w:eastAsia="仿宋_GB2312" w:hAnsi="仿宋"/>
                <w:sz w:val="24"/>
                <w:szCs w:val="24"/>
              </w:rPr>
            </w:pPr>
            <w:r w:rsidRPr="00A67BA9">
              <w:rPr>
                <w:rFonts w:ascii="仿宋_GB2312" w:eastAsia="仿宋_GB2312" w:hAnsi="仿宋" w:hint="eastAsia"/>
                <w:sz w:val="24"/>
                <w:szCs w:val="24"/>
              </w:rPr>
              <w:t>比较法学研究方法与论文写作</w:t>
            </w:r>
          </w:p>
        </w:tc>
        <w:tc>
          <w:tcPr>
            <w:tcW w:w="1482" w:type="dxa"/>
            <w:vAlign w:val="center"/>
          </w:tcPr>
          <w:p w:rsidR="00A67BA9" w:rsidRPr="00A67BA9" w:rsidRDefault="00A67BA9" w:rsidP="00FD6419">
            <w:pPr>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snapToGrid w:val="0"/>
              <w:jc w:val="left"/>
              <w:rPr>
                <w:rFonts w:ascii="仿宋_GB2312" w:eastAsia="仿宋_GB2312" w:hAnsi="仿宋"/>
                <w:sz w:val="24"/>
                <w:szCs w:val="24"/>
              </w:rPr>
            </w:pPr>
          </w:p>
        </w:tc>
      </w:tr>
      <w:tr w:rsidR="00A67BA9" w:rsidRPr="00A67BA9" w:rsidTr="00FD6419">
        <w:trPr>
          <w:cantSplit/>
          <w:trHeight w:val="644"/>
          <w:jc w:val="center"/>
        </w:trPr>
        <w:tc>
          <w:tcPr>
            <w:tcW w:w="1067" w:type="dxa"/>
            <w:vMerge/>
            <w:vAlign w:val="center"/>
          </w:tcPr>
          <w:p w:rsidR="00A67BA9" w:rsidRPr="00A67BA9" w:rsidRDefault="00A67BA9" w:rsidP="00FD6419">
            <w:pPr>
              <w:jc w:val="center"/>
              <w:rPr>
                <w:rFonts w:ascii="仿宋_GB2312" w:eastAsia="仿宋_GB2312" w:hAnsi="仿宋"/>
                <w:sz w:val="24"/>
                <w:szCs w:val="24"/>
              </w:rPr>
            </w:pPr>
          </w:p>
        </w:tc>
        <w:tc>
          <w:tcPr>
            <w:tcW w:w="1840"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学位基础课</w:t>
            </w: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比较法学总论</w:t>
            </w:r>
          </w:p>
        </w:tc>
        <w:tc>
          <w:tcPr>
            <w:tcW w:w="1482"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ind w:leftChars="-27" w:left="63" w:right="-57" w:hangingChars="50" w:hanging="120"/>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snapToGrid w:val="0"/>
              <w:spacing w:line="400" w:lineRule="exact"/>
              <w:jc w:val="left"/>
              <w:rPr>
                <w:rFonts w:ascii="仿宋_GB2312" w:eastAsia="仿宋_GB2312" w:hAnsi="仿宋"/>
                <w:sz w:val="24"/>
                <w:szCs w:val="24"/>
              </w:rPr>
            </w:pPr>
          </w:p>
        </w:tc>
      </w:tr>
      <w:tr w:rsidR="00A67BA9" w:rsidRPr="00A67BA9" w:rsidTr="00FD6419">
        <w:trPr>
          <w:cantSplit/>
          <w:trHeight w:val="622"/>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restart"/>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学位专业课</w:t>
            </w:r>
          </w:p>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（中德）</w:t>
            </w: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比较民法总论</w:t>
            </w:r>
          </w:p>
        </w:tc>
        <w:tc>
          <w:tcPr>
            <w:tcW w:w="1482" w:type="dxa"/>
            <w:vMerge w:val="restart"/>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700" w:type="dxa"/>
            <w:vAlign w:val="center"/>
          </w:tcPr>
          <w:p w:rsidR="00A67BA9" w:rsidRPr="00A67BA9" w:rsidRDefault="00A67BA9" w:rsidP="00FD6419">
            <w:pPr>
              <w:spacing w:line="400" w:lineRule="exact"/>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Merge w:val="restart"/>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1"/>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比较公法</w:t>
            </w:r>
          </w:p>
        </w:tc>
        <w:tc>
          <w:tcPr>
            <w:tcW w:w="1482"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德汉双语</w:t>
            </w:r>
          </w:p>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Merge/>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欧盟法概论</w:t>
            </w:r>
          </w:p>
        </w:tc>
        <w:tc>
          <w:tcPr>
            <w:tcW w:w="1482"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德汉双语</w:t>
            </w:r>
          </w:p>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Merge/>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restart"/>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学位专业课</w:t>
            </w:r>
          </w:p>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（中美）</w:t>
            </w: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比较合同法</w:t>
            </w:r>
          </w:p>
        </w:tc>
        <w:tc>
          <w:tcPr>
            <w:tcW w:w="1482" w:type="dxa"/>
            <w:vMerge w:val="restart"/>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比较宪法</w:t>
            </w:r>
          </w:p>
        </w:tc>
        <w:tc>
          <w:tcPr>
            <w:tcW w:w="1482"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比较刑事诉讼与证据</w:t>
            </w:r>
          </w:p>
        </w:tc>
        <w:tc>
          <w:tcPr>
            <w:tcW w:w="1482"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比较侵权法</w:t>
            </w:r>
          </w:p>
        </w:tc>
        <w:tc>
          <w:tcPr>
            <w:tcW w:w="1482"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54</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restart"/>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学位专业课</w:t>
            </w:r>
          </w:p>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（国别法方向）</w:t>
            </w: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比较私法</w:t>
            </w:r>
          </w:p>
        </w:tc>
        <w:tc>
          <w:tcPr>
            <w:tcW w:w="1482" w:type="dxa"/>
            <w:vMerge w:val="restart"/>
            <w:vAlign w:val="center"/>
          </w:tcPr>
          <w:p w:rsidR="00A67BA9" w:rsidRPr="00A67BA9" w:rsidRDefault="00A67BA9" w:rsidP="00FD6419">
            <w:pPr>
              <w:spacing w:line="400" w:lineRule="exact"/>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sz w:val="24"/>
                <w:szCs w:val="24"/>
              </w:rPr>
              <w:t>54</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比较宪法行政法</w:t>
            </w:r>
          </w:p>
        </w:tc>
        <w:tc>
          <w:tcPr>
            <w:tcW w:w="1482"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sz w:val="24"/>
                <w:szCs w:val="24"/>
              </w:rPr>
              <w:t>54</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648"/>
          <w:jc w:val="center"/>
        </w:trPr>
        <w:tc>
          <w:tcPr>
            <w:tcW w:w="1067" w:type="dxa"/>
            <w:vMerge/>
            <w:vAlign w:val="center"/>
          </w:tcPr>
          <w:p w:rsidR="00A67BA9" w:rsidRPr="00A67BA9" w:rsidRDefault="00A67BA9" w:rsidP="00FD6419">
            <w:pPr>
              <w:ind w:lef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比较程序法</w:t>
            </w:r>
          </w:p>
        </w:tc>
        <w:tc>
          <w:tcPr>
            <w:tcW w:w="1482" w:type="dxa"/>
            <w:vMerge/>
            <w:vAlign w:val="center"/>
          </w:tcPr>
          <w:p w:rsidR="00A67BA9" w:rsidRPr="00A67BA9" w:rsidRDefault="00A67BA9" w:rsidP="00FD6419">
            <w:pPr>
              <w:spacing w:line="400" w:lineRule="exact"/>
              <w:jc w:val="center"/>
              <w:rPr>
                <w:rFonts w:ascii="仿宋_GB2312" w:eastAsia="仿宋_GB2312" w:hAnsi="仿宋"/>
                <w:sz w:val="24"/>
                <w:szCs w:val="24"/>
              </w:rPr>
            </w:pPr>
          </w:p>
        </w:tc>
        <w:tc>
          <w:tcPr>
            <w:tcW w:w="1700"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sz w:val="24"/>
                <w:szCs w:val="24"/>
              </w:rPr>
              <w:t>3</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sz w:val="24"/>
                <w:szCs w:val="24"/>
              </w:rPr>
              <w:t>54</w:t>
            </w:r>
          </w:p>
        </w:tc>
        <w:tc>
          <w:tcPr>
            <w:tcW w:w="709" w:type="dxa"/>
            <w:vAlign w:val="center"/>
          </w:tcPr>
          <w:p w:rsidR="00A67BA9" w:rsidRPr="00A67BA9" w:rsidRDefault="00A67BA9" w:rsidP="00FD6419">
            <w:pPr>
              <w:spacing w:line="400" w:lineRule="exact"/>
              <w:ind w:left="-57" w:right="-57"/>
              <w:jc w:val="center"/>
              <w:rPr>
                <w:rFonts w:ascii="仿宋_GB2312" w:eastAsia="仿宋_GB2312" w:hAnsi="仿宋"/>
                <w:sz w:val="24"/>
                <w:szCs w:val="24"/>
              </w:rPr>
            </w:pPr>
            <w:r w:rsidRPr="00A67BA9">
              <w:rPr>
                <w:rFonts w:ascii="仿宋_GB2312" w:eastAsia="仿宋_GB2312" w:hAnsi="仿宋"/>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Align w:val="center"/>
          </w:tcPr>
          <w:p w:rsidR="00A67BA9" w:rsidRPr="00A67BA9" w:rsidRDefault="00A67BA9" w:rsidP="00FD6419">
            <w:pPr>
              <w:adjustRightInd w:val="0"/>
              <w:snapToGrid w:val="0"/>
              <w:spacing w:line="400" w:lineRule="exact"/>
              <w:jc w:val="left"/>
              <w:rPr>
                <w:rFonts w:ascii="仿宋_GB2312" w:eastAsia="仿宋_GB2312" w:hAnsi="仿宋"/>
                <w:sz w:val="24"/>
                <w:szCs w:val="24"/>
              </w:rPr>
            </w:pPr>
          </w:p>
        </w:tc>
      </w:tr>
      <w:tr w:rsidR="00A67BA9" w:rsidRPr="00A67BA9" w:rsidTr="00FD6419">
        <w:trPr>
          <w:cantSplit/>
          <w:trHeight w:val="800"/>
          <w:jc w:val="center"/>
        </w:trPr>
        <w:tc>
          <w:tcPr>
            <w:tcW w:w="1067" w:type="dxa"/>
            <w:vMerge w:val="restart"/>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r w:rsidRPr="00A67BA9">
              <w:rPr>
                <w:rFonts w:ascii="仿宋_GB2312" w:eastAsia="仿宋_GB2312" w:hAnsi="仿宋" w:hint="eastAsia"/>
                <w:sz w:val="24"/>
                <w:szCs w:val="24"/>
              </w:rPr>
              <w:t>选修课程</w:t>
            </w:r>
          </w:p>
        </w:tc>
        <w:tc>
          <w:tcPr>
            <w:tcW w:w="1840" w:type="dxa"/>
            <w:vMerge w:val="restart"/>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专业限选课</w:t>
            </w:r>
          </w:p>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（中德交流项目）</w:t>
            </w: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德国民法案例分析（一）</w:t>
            </w:r>
          </w:p>
        </w:tc>
        <w:tc>
          <w:tcPr>
            <w:tcW w:w="1482" w:type="dxa"/>
            <w:vMerge w:val="restart"/>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r w:rsidRPr="00A67BA9">
              <w:rPr>
                <w:rFonts w:ascii="仿宋_GB2312" w:eastAsia="仿宋_GB2312" w:hAnsi="仿宋" w:hint="eastAsia"/>
                <w:sz w:val="24"/>
                <w:szCs w:val="24"/>
              </w:rPr>
              <w:t>8</w:t>
            </w: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restart"/>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r w:rsidRPr="00A67BA9">
              <w:rPr>
                <w:rFonts w:ascii="仿宋_GB2312" w:eastAsia="仿宋_GB2312" w:hAnsi="仿宋" w:hint="eastAsia"/>
                <w:sz w:val="24"/>
                <w:szCs w:val="24"/>
              </w:rPr>
              <w:t>考查</w:t>
            </w:r>
          </w:p>
        </w:tc>
        <w:tc>
          <w:tcPr>
            <w:tcW w:w="1699" w:type="dxa"/>
            <w:vMerge w:val="restart"/>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p w:rsidR="00A67BA9" w:rsidRPr="00A67BA9" w:rsidRDefault="00A67BA9" w:rsidP="00FD6419">
            <w:pPr>
              <w:adjustRightInd w:val="0"/>
              <w:snapToGrid w:val="0"/>
              <w:ind w:leftChars="-27" w:left="-57" w:right="-57"/>
              <w:jc w:val="left"/>
              <w:rPr>
                <w:rFonts w:ascii="仿宋_GB2312" w:eastAsia="仿宋_GB2312" w:hAnsi="仿宋"/>
                <w:sz w:val="24"/>
                <w:szCs w:val="24"/>
              </w:rPr>
            </w:pPr>
            <w:r w:rsidRPr="00A67BA9">
              <w:rPr>
                <w:rFonts w:ascii="仿宋_GB2312" w:eastAsia="仿宋_GB2312" w:hAnsi="仿宋" w:hint="eastAsia"/>
                <w:sz w:val="24"/>
                <w:szCs w:val="24"/>
              </w:rPr>
              <w:t>所修选修课学分应不少于10学分，</w:t>
            </w:r>
            <w:r w:rsidRPr="00A67BA9">
              <w:rPr>
                <w:rFonts w:ascii="仿宋_GB2312" w:eastAsia="仿宋_GB2312" w:hint="eastAsia"/>
                <w:sz w:val="24"/>
                <w:szCs w:val="24"/>
              </w:rPr>
              <w:t>其中本学科专业选修课不少于6学分。</w:t>
            </w:r>
          </w:p>
          <w:p w:rsidR="00A67BA9" w:rsidRPr="00A67BA9" w:rsidRDefault="00A67BA9" w:rsidP="00FD6419">
            <w:pPr>
              <w:adjustRightInd w:val="0"/>
              <w:snapToGrid w:val="0"/>
              <w:ind w:right="-57"/>
              <w:jc w:val="left"/>
              <w:rPr>
                <w:rFonts w:ascii="仿宋_GB2312" w:eastAsia="仿宋_GB2312" w:hAnsi="仿宋"/>
                <w:sz w:val="24"/>
                <w:szCs w:val="24"/>
              </w:rPr>
            </w:pPr>
          </w:p>
        </w:tc>
      </w:tr>
      <w:tr w:rsidR="00A67BA9" w:rsidRPr="00A67BA9" w:rsidTr="00FD6419">
        <w:trPr>
          <w:cantSplit/>
          <w:trHeight w:val="800"/>
          <w:jc w:val="center"/>
        </w:trPr>
        <w:tc>
          <w:tcPr>
            <w:tcW w:w="1067" w:type="dxa"/>
            <w:vMerge/>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德国刑法案例分析</w:t>
            </w:r>
          </w:p>
        </w:tc>
        <w:tc>
          <w:tcPr>
            <w:tcW w:w="148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800"/>
          <w:jc w:val="center"/>
        </w:trPr>
        <w:tc>
          <w:tcPr>
            <w:tcW w:w="1067" w:type="dxa"/>
            <w:vMerge/>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Times New Roman" w:eastAsia="仿宋_GB2312" w:hAnsi="Times New Roman"/>
                <w:sz w:val="24"/>
                <w:szCs w:val="24"/>
              </w:rPr>
            </w:pPr>
            <w:r w:rsidRPr="00A67BA9">
              <w:rPr>
                <w:rFonts w:ascii="Times New Roman" w:eastAsia="仿宋_GB2312" w:hAnsi="Times New Roman"/>
                <w:sz w:val="24"/>
                <w:szCs w:val="24"/>
              </w:rPr>
              <w:t>Verfassungsrecht</w:t>
            </w:r>
          </w:p>
        </w:tc>
        <w:tc>
          <w:tcPr>
            <w:tcW w:w="148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800"/>
          <w:jc w:val="center"/>
        </w:trPr>
        <w:tc>
          <w:tcPr>
            <w:tcW w:w="1067" w:type="dxa"/>
            <w:vMerge/>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Times New Roman" w:eastAsia="仿宋_GB2312" w:hAnsi="Times New Roman"/>
                <w:sz w:val="24"/>
                <w:szCs w:val="24"/>
              </w:rPr>
            </w:pPr>
            <w:r w:rsidRPr="00A67BA9">
              <w:rPr>
                <w:rFonts w:ascii="Times New Roman" w:eastAsia="仿宋_GB2312" w:hAnsi="Times New Roman"/>
                <w:sz w:val="24"/>
                <w:szCs w:val="24"/>
              </w:rPr>
              <w:t>Zivilrecht</w:t>
            </w:r>
          </w:p>
        </w:tc>
        <w:tc>
          <w:tcPr>
            <w:tcW w:w="148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800"/>
          <w:jc w:val="center"/>
        </w:trPr>
        <w:tc>
          <w:tcPr>
            <w:tcW w:w="1067" w:type="dxa"/>
            <w:vMerge/>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德国行政法案例分析</w:t>
            </w:r>
          </w:p>
        </w:tc>
        <w:tc>
          <w:tcPr>
            <w:tcW w:w="148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800"/>
          <w:jc w:val="center"/>
        </w:trPr>
        <w:tc>
          <w:tcPr>
            <w:tcW w:w="1067" w:type="dxa"/>
            <w:vMerge/>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德国民法案例分析（二）</w:t>
            </w:r>
          </w:p>
        </w:tc>
        <w:tc>
          <w:tcPr>
            <w:tcW w:w="148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800"/>
          <w:jc w:val="center"/>
        </w:trPr>
        <w:tc>
          <w:tcPr>
            <w:tcW w:w="1067" w:type="dxa"/>
            <w:vMerge/>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Times New Roman" w:eastAsia="仿宋_GB2312" w:hAnsi="Times New Roman"/>
                <w:sz w:val="24"/>
                <w:szCs w:val="24"/>
              </w:rPr>
            </w:pPr>
            <w:r w:rsidRPr="00A67BA9">
              <w:rPr>
                <w:rFonts w:ascii="Times New Roman" w:eastAsia="仿宋_GB2312" w:hAnsi="Times New Roman"/>
                <w:sz w:val="24"/>
                <w:szCs w:val="24"/>
              </w:rPr>
              <w:t>Deutsches Prozessrecht</w:t>
            </w:r>
          </w:p>
        </w:tc>
        <w:tc>
          <w:tcPr>
            <w:tcW w:w="148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800"/>
          <w:jc w:val="center"/>
        </w:trPr>
        <w:tc>
          <w:tcPr>
            <w:tcW w:w="1067" w:type="dxa"/>
            <w:vMerge/>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ind w:leftChars="-27" w:left="-57" w:right="-57"/>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Times New Roman" w:eastAsia="仿宋_GB2312" w:hAnsi="Times New Roman"/>
                <w:sz w:val="24"/>
                <w:szCs w:val="24"/>
              </w:rPr>
            </w:pPr>
            <w:r w:rsidRPr="00A67BA9">
              <w:rPr>
                <w:rFonts w:ascii="Times New Roman" w:eastAsia="仿宋_GB2312" w:hAnsi="Times New Roman"/>
                <w:sz w:val="24"/>
                <w:szCs w:val="24"/>
              </w:rPr>
              <w:t>Europarecht</w:t>
            </w:r>
          </w:p>
        </w:tc>
        <w:tc>
          <w:tcPr>
            <w:tcW w:w="148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restart"/>
            <w:vAlign w:val="center"/>
          </w:tcPr>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任</w:t>
            </w: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选</w:t>
            </w: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课</w:t>
            </w: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任</w:t>
            </w: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选</w:t>
            </w: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r w:rsidRPr="00A67BA9">
              <w:rPr>
                <w:rFonts w:ascii="仿宋_GB2312" w:eastAsia="仿宋_GB2312" w:hAnsi="仿宋" w:hint="eastAsia"/>
                <w:spacing w:val="-8"/>
                <w:sz w:val="24"/>
                <w:szCs w:val="24"/>
              </w:rPr>
              <w:t>课</w:t>
            </w: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pacing w:val="-8"/>
                <w:sz w:val="24"/>
                <w:szCs w:val="24"/>
              </w:rPr>
            </w:pPr>
          </w:p>
          <w:p w:rsidR="00A67BA9" w:rsidRPr="00A67BA9" w:rsidRDefault="00A67BA9" w:rsidP="00FD6419">
            <w:pPr>
              <w:spacing w:line="240" w:lineRule="atLeas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lastRenderedPageBreak/>
              <w:t>罗马公法专题研究</w:t>
            </w:r>
          </w:p>
        </w:tc>
        <w:tc>
          <w:tcPr>
            <w:tcW w:w="1482" w:type="dxa"/>
            <w:vMerge w:val="restart"/>
            <w:vAlign w:val="center"/>
          </w:tcPr>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任</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选</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门</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任</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选</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门</w:t>
            </w: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restart"/>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r w:rsidRPr="00A67BA9">
              <w:rPr>
                <w:rFonts w:ascii="仿宋_GB2312" w:eastAsia="仿宋_GB2312" w:hAnsi="仿宋" w:hint="eastAsia"/>
                <w:sz w:val="24"/>
                <w:szCs w:val="24"/>
              </w:rPr>
              <w:t>考查</w:t>
            </w: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美国刑事诉讼程序</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全英文</w:t>
            </w:r>
          </w:p>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美国商法专题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w:t>
            </w:r>
          </w:p>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国际税法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w:t>
            </w:r>
          </w:p>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比较法律传统</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w:t>
            </w:r>
          </w:p>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国际贸易与融资法律专题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全英文</w:t>
            </w:r>
          </w:p>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德国债法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德国商法专题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欧盟合同法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法国侵权责任法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英美法律史专题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美国公司法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美国民事诉讼程序</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法律文献与信息检索</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美国民法专题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公共财政专题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证券法的理论与实践</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金融法专题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全英文</w:t>
            </w:r>
          </w:p>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普通法之衡平法与信托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w:t>
            </w:r>
          </w:p>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专业德语</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欧盟经济法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德国物权法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德国行政法与行政诉讼法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意大利行政法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企业并购比较研究</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中西传统法律文化比较</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美国环境与资源法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3</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德国财税法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欧盟公司法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欧盟政策与欧盟法专题研究</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德汉双语讲授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罗马私法专题研究</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俄罗斯民商法专题</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比较影视著作权</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美国娱乐法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45"/>
          <w:jc w:val="center"/>
        </w:trPr>
        <w:tc>
          <w:tcPr>
            <w:tcW w:w="1067" w:type="dxa"/>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1840" w:type="dxa"/>
            <w:vMerge/>
            <w:vAlign w:val="center"/>
          </w:tcPr>
          <w:p w:rsidR="00A67BA9" w:rsidRPr="00A67BA9" w:rsidRDefault="00A67BA9" w:rsidP="00FD6419">
            <w:pPr>
              <w:spacing w:line="240" w:lineRule="atLeast"/>
              <w:jc w:val="center"/>
              <w:rPr>
                <w:rFonts w:ascii="仿宋_GB2312" w:eastAsia="仿宋_GB2312" w:hAnsi="仿宋"/>
                <w:spacing w:val="-8"/>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美国艺术法</w:t>
            </w:r>
          </w:p>
        </w:tc>
        <w:tc>
          <w:tcPr>
            <w:tcW w:w="148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700" w:type="dxa"/>
            <w:vAlign w:val="center"/>
          </w:tcPr>
          <w:p w:rsidR="00A67BA9" w:rsidRPr="00A67BA9" w:rsidRDefault="00A67BA9" w:rsidP="00FD6419">
            <w:pPr>
              <w:ind w:left="-57" w:right="-57"/>
              <w:jc w:val="center"/>
              <w:rPr>
                <w:rFonts w:ascii="仿宋_GB2312" w:eastAsia="仿宋_GB2312" w:hAnsi="仿宋"/>
                <w:spacing w:val="-8"/>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4</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英汉双语讲授</w:t>
            </w:r>
          </w:p>
        </w:tc>
        <w:tc>
          <w:tcPr>
            <w:tcW w:w="992" w:type="dxa"/>
            <w:vMerge/>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1699" w:type="dxa"/>
            <w:vMerge/>
            <w:vAlign w:val="center"/>
          </w:tcPr>
          <w:p w:rsidR="00A67BA9" w:rsidRPr="00A67BA9" w:rsidRDefault="00A67BA9" w:rsidP="00FD6419">
            <w:pPr>
              <w:adjustRightInd w:val="0"/>
              <w:snapToGrid w:val="0"/>
              <w:ind w:leftChars="-27" w:left="-57" w:right="-57"/>
              <w:jc w:val="left"/>
              <w:rPr>
                <w:rFonts w:ascii="仿宋_GB2312" w:eastAsia="仿宋_GB2312" w:hAnsi="仿宋"/>
                <w:sz w:val="24"/>
                <w:szCs w:val="24"/>
              </w:rPr>
            </w:pPr>
          </w:p>
        </w:tc>
      </w:tr>
      <w:tr w:rsidR="00A67BA9" w:rsidRPr="00A67BA9" w:rsidTr="00FD6419">
        <w:trPr>
          <w:cantSplit/>
          <w:trHeight w:val="690"/>
          <w:jc w:val="center"/>
        </w:trPr>
        <w:tc>
          <w:tcPr>
            <w:tcW w:w="2907" w:type="dxa"/>
            <w:gridSpan w:val="2"/>
            <w:vMerge w:val="restart"/>
            <w:vAlign w:val="center"/>
          </w:tcPr>
          <w:p w:rsidR="00A67BA9" w:rsidRPr="00A67BA9" w:rsidRDefault="00A67BA9" w:rsidP="00FD6419">
            <w:pPr>
              <w:spacing w:line="240" w:lineRule="atLeast"/>
              <w:jc w:val="center"/>
              <w:rPr>
                <w:rFonts w:ascii="仿宋_GB2312" w:eastAsia="仿宋_GB2312" w:hAnsi="仿宋"/>
                <w:sz w:val="24"/>
                <w:szCs w:val="24"/>
              </w:rPr>
            </w:pPr>
            <w:r w:rsidRPr="00A67BA9">
              <w:rPr>
                <w:rFonts w:ascii="仿宋_GB2312" w:eastAsia="仿宋_GB2312" w:hAnsi="仿宋" w:hint="eastAsia"/>
                <w:sz w:val="24"/>
                <w:szCs w:val="24"/>
              </w:rPr>
              <w:t>补修课程</w:t>
            </w: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民法学</w:t>
            </w:r>
          </w:p>
        </w:tc>
        <w:tc>
          <w:tcPr>
            <w:tcW w:w="1482" w:type="dxa"/>
            <w:vMerge w:val="restart"/>
            <w:vAlign w:val="center"/>
          </w:tcPr>
          <w:p w:rsidR="00A67BA9" w:rsidRPr="00A67BA9" w:rsidRDefault="00A67BA9" w:rsidP="00FD6419">
            <w:pPr>
              <w:widowControl/>
              <w:jc w:val="left"/>
              <w:rPr>
                <w:rFonts w:ascii="仿宋_GB2312" w:eastAsia="仿宋_GB2312" w:cs="宋体"/>
                <w:kern w:val="0"/>
                <w:sz w:val="24"/>
                <w:szCs w:val="24"/>
              </w:rPr>
            </w:pPr>
          </w:p>
        </w:tc>
        <w:tc>
          <w:tcPr>
            <w:tcW w:w="1700"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restart"/>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考试</w:t>
            </w:r>
          </w:p>
        </w:tc>
        <w:tc>
          <w:tcPr>
            <w:tcW w:w="1699" w:type="dxa"/>
            <w:vMerge w:val="restart"/>
            <w:vAlign w:val="center"/>
          </w:tcPr>
          <w:p w:rsidR="00A67BA9" w:rsidRPr="00A67BA9" w:rsidRDefault="00A67BA9" w:rsidP="00FD6419">
            <w:pPr>
              <w:spacing w:line="240" w:lineRule="atLeast"/>
              <w:ind w:leftChars="-27" w:left="-57" w:right="-57"/>
              <w:jc w:val="left"/>
              <w:rPr>
                <w:rFonts w:ascii="仿宋_GB2312" w:eastAsia="仿宋_GB2312" w:hAnsi="仿宋"/>
                <w:sz w:val="24"/>
                <w:szCs w:val="24"/>
              </w:rPr>
            </w:pPr>
            <w:r w:rsidRPr="00A67BA9">
              <w:rPr>
                <w:rFonts w:ascii="仿宋_GB2312" w:eastAsia="仿宋_GB2312" w:hAnsi="仿宋" w:hint="eastAsia"/>
                <w:sz w:val="24"/>
                <w:szCs w:val="24"/>
              </w:rPr>
              <w:t>跨学科和以同等学力考取的硕士研究生应补修该2门课。</w:t>
            </w:r>
          </w:p>
        </w:tc>
      </w:tr>
      <w:tr w:rsidR="00A67BA9" w:rsidRPr="00A67BA9" w:rsidTr="00FD6419">
        <w:trPr>
          <w:cantSplit/>
          <w:trHeight w:val="823"/>
          <w:jc w:val="center"/>
        </w:trPr>
        <w:tc>
          <w:tcPr>
            <w:tcW w:w="2907" w:type="dxa"/>
            <w:gridSpan w:val="2"/>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2271" w:type="dxa"/>
            <w:vAlign w:val="center"/>
          </w:tcPr>
          <w:p w:rsidR="00A67BA9" w:rsidRPr="00A67BA9" w:rsidRDefault="00A67BA9" w:rsidP="00FD6419">
            <w:pPr>
              <w:ind w:left="-57" w:right="-57"/>
              <w:jc w:val="left"/>
              <w:rPr>
                <w:rFonts w:ascii="仿宋_GB2312" w:eastAsia="仿宋_GB2312" w:hAnsi="仿宋"/>
                <w:sz w:val="24"/>
                <w:szCs w:val="24"/>
              </w:rPr>
            </w:pPr>
            <w:r w:rsidRPr="00A67BA9">
              <w:rPr>
                <w:rFonts w:ascii="仿宋_GB2312" w:eastAsia="仿宋_GB2312" w:hAnsi="仿宋" w:hint="eastAsia"/>
                <w:sz w:val="24"/>
                <w:szCs w:val="24"/>
              </w:rPr>
              <w:t>宪法学与行政法学</w:t>
            </w:r>
          </w:p>
        </w:tc>
        <w:tc>
          <w:tcPr>
            <w:tcW w:w="1482" w:type="dxa"/>
            <w:vMerge/>
            <w:vAlign w:val="center"/>
          </w:tcPr>
          <w:p w:rsidR="00A67BA9" w:rsidRPr="00A67BA9" w:rsidRDefault="00A67BA9" w:rsidP="00FD6419">
            <w:pPr>
              <w:widowControl/>
              <w:jc w:val="left"/>
              <w:rPr>
                <w:rFonts w:ascii="仿宋_GB2312" w:eastAsia="仿宋_GB2312" w:cs="宋体"/>
                <w:kern w:val="0"/>
                <w:sz w:val="24"/>
                <w:szCs w:val="24"/>
              </w:rPr>
            </w:pPr>
          </w:p>
        </w:tc>
        <w:tc>
          <w:tcPr>
            <w:tcW w:w="1700"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firstLineChars="50" w:firstLine="120"/>
              <w:jc w:val="center"/>
              <w:rPr>
                <w:rFonts w:ascii="仿宋_GB2312" w:eastAsia="仿宋_GB2312" w:hAnsi="仿宋"/>
                <w:sz w:val="24"/>
                <w:szCs w:val="24"/>
              </w:rPr>
            </w:pPr>
            <w:r w:rsidRPr="00A67BA9">
              <w:rPr>
                <w:rFonts w:ascii="仿宋_GB2312" w:eastAsia="仿宋_GB2312" w:hAnsi="仿宋" w:hint="eastAsia"/>
                <w:sz w:val="24"/>
                <w:szCs w:val="24"/>
              </w:rPr>
              <w:t>36</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讲授</w:t>
            </w:r>
          </w:p>
        </w:tc>
        <w:tc>
          <w:tcPr>
            <w:tcW w:w="992" w:type="dxa"/>
            <w:vMerge/>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699" w:type="dxa"/>
            <w:vMerge/>
            <w:vAlign w:val="center"/>
          </w:tcPr>
          <w:p w:rsidR="00A67BA9" w:rsidRPr="00A67BA9" w:rsidRDefault="00A67BA9" w:rsidP="00FD6419">
            <w:pPr>
              <w:spacing w:line="240" w:lineRule="atLeast"/>
              <w:ind w:leftChars="-27" w:left="-57" w:right="-57"/>
              <w:jc w:val="left"/>
              <w:rPr>
                <w:rFonts w:ascii="仿宋_GB2312" w:eastAsia="仿宋_GB2312" w:hAnsi="仿宋"/>
                <w:sz w:val="24"/>
                <w:szCs w:val="24"/>
              </w:rPr>
            </w:pPr>
          </w:p>
        </w:tc>
      </w:tr>
      <w:tr w:rsidR="00A67BA9" w:rsidRPr="00A67BA9" w:rsidTr="00FD6419">
        <w:trPr>
          <w:cantSplit/>
          <w:trHeight w:val="450"/>
          <w:jc w:val="center"/>
        </w:trPr>
        <w:tc>
          <w:tcPr>
            <w:tcW w:w="2907" w:type="dxa"/>
            <w:gridSpan w:val="2"/>
            <w:vMerge w:val="restart"/>
            <w:textDirection w:val="tbRlV"/>
            <w:vAlign w:val="center"/>
          </w:tcPr>
          <w:p w:rsidR="00A67BA9" w:rsidRPr="00A67BA9" w:rsidRDefault="00A67BA9" w:rsidP="00FD6419">
            <w:pPr>
              <w:spacing w:line="240" w:lineRule="atLeast"/>
              <w:ind w:left="113" w:right="113"/>
              <w:jc w:val="center"/>
              <w:rPr>
                <w:rFonts w:ascii="仿宋_GB2312" w:eastAsia="仿宋_GB2312" w:hAnsi="仿宋"/>
                <w:sz w:val="24"/>
                <w:szCs w:val="24"/>
              </w:rPr>
            </w:pPr>
            <w:r w:rsidRPr="00A67BA9">
              <w:rPr>
                <w:rFonts w:ascii="仿宋_GB2312" w:eastAsia="仿宋_GB2312" w:hAnsi="仿宋" w:hint="eastAsia"/>
                <w:sz w:val="24"/>
                <w:szCs w:val="24"/>
              </w:rPr>
              <w:t>其他培养环节</w:t>
            </w:r>
          </w:p>
        </w:tc>
        <w:tc>
          <w:tcPr>
            <w:tcW w:w="2271"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1.文献阅读与综述</w:t>
            </w: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（导师考核）</w:t>
            </w:r>
          </w:p>
        </w:tc>
        <w:tc>
          <w:tcPr>
            <w:tcW w:w="3182" w:type="dxa"/>
            <w:gridSpan w:val="2"/>
            <w:vAlign w:val="center"/>
          </w:tcPr>
          <w:p w:rsidR="00A67BA9" w:rsidRPr="00A67BA9" w:rsidRDefault="00A67BA9" w:rsidP="00FD6419">
            <w:pPr>
              <w:ind w:firstLineChars="200" w:firstLine="480"/>
              <w:rPr>
                <w:rFonts w:ascii="仿宋_GB2312" w:eastAsia="仿宋_GB2312" w:hAnsi="仿宋"/>
                <w:sz w:val="24"/>
                <w:szCs w:val="24"/>
              </w:rPr>
            </w:pPr>
            <w:r w:rsidRPr="00A67BA9">
              <w:rPr>
                <w:rFonts w:ascii="仿宋_GB2312" w:eastAsia="仿宋_GB2312" w:hAnsi="仿宋" w:hint="eastAsia"/>
                <w:sz w:val="24"/>
                <w:szCs w:val="24"/>
              </w:rPr>
              <w:t>文献阅读与综述是研究生掌握本学科的学术传统和研究脉络，训练研究生理解能力和概括能力，为研究生的学习研究奠定一定理论基础的重要环节。</w:t>
            </w:r>
          </w:p>
          <w:p w:rsidR="00A67BA9" w:rsidRPr="00A67BA9" w:rsidRDefault="00A67BA9" w:rsidP="00FD6419">
            <w:pPr>
              <w:ind w:firstLineChars="200" w:firstLine="480"/>
              <w:rPr>
                <w:rFonts w:ascii="仿宋_GB2312" w:eastAsia="仿宋_GB2312" w:hAnsi="仿宋"/>
                <w:sz w:val="24"/>
                <w:szCs w:val="24"/>
              </w:rPr>
            </w:pPr>
            <w:r w:rsidRPr="00A67BA9">
              <w:rPr>
                <w:rFonts w:ascii="仿宋_GB2312" w:eastAsia="仿宋_GB2312" w:hAnsi="仿宋" w:hint="eastAsia"/>
                <w:sz w:val="24"/>
                <w:szCs w:val="24"/>
              </w:rPr>
              <w:t>硕士研究生第1至第4学期，每学期精读专著不少于2本，具体书目由导师指定，每学期应提交读书报告1篇，篇幅不少于3000字。</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p>
        </w:tc>
        <w:tc>
          <w:tcPr>
            <w:tcW w:w="992"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考查</w:t>
            </w:r>
          </w:p>
        </w:tc>
        <w:tc>
          <w:tcPr>
            <w:tcW w:w="1699" w:type="dxa"/>
            <w:vMerge w:val="restart"/>
            <w:vAlign w:val="center"/>
          </w:tcPr>
          <w:p w:rsidR="00A67BA9" w:rsidRPr="00A67BA9" w:rsidRDefault="00FD6419" w:rsidP="00FD6419">
            <w:pPr>
              <w:spacing w:line="240" w:lineRule="atLeast"/>
              <w:ind w:leftChars="-27" w:left="-57" w:right="-57"/>
              <w:jc w:val="left"/>
              <w:rPr>
                <w:rFonts w:ascii="仿宋_GB2312" w:eastAsia="仿宋_GB2312" w:hAnsi="仿宋"/>
                <w:sz w:val="24"/>
                <w:szCs w:val="24"/>
              </w:rPr>
            </w:pPr>
            <w:r>
              <w:rPr>
                <w:rFonts w:ascii="仿宋_GB2312" w:eastAsia="仿宋_GB2312" w:hAnsi="仿宋" w:hint="eastAsia"/>
                <w:sz w:val="24"/>
                <w:szCs w:val="24"/>
              </w:rPr>
              <w:t>硕士研究生所修学分不得低于6学分</w:t>
            </w:r>
          </w:p>
        </w:tc>
      </w:tr>
      <w:tr w:rsidR="00A67BA9" w:rsidRPr="00A67BA9" w:rsidTr="00FD6419">
        <w:trPr>
          <w:cantSplit/>
          <w:trHeight w:val="1951"/>
          <w:jc w:val="center"/>
        </w:trPr>
        <w:tc>
          <w:tcPr>
            <w:tcW w:w="2907" w:type="dxa"/>
            <w:gridSpan w:val="2"/>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2271"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2.科研环节</w:t>
            </w:r>
          </w:p>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（导师考核）</w:t>
            </w:r>
          </w:p>
        </w:tc>
        <w:tc>
          <w:tcPr>
            <w:tcW w:w="3182" w:type="dxa"/>
            <w:gridSpan w:val="2"/>
            <w:vAlign w:val="center"/>
          </w:tcPr>
          <w:p w:rsidR="00A67BA9" w:rsidRPr="00A67BA9" w:rsidRDefault="00A67BA9" w:rsidP="00FD6419">
            <w:pPr>
              <w:ind w:firstLineChars="200" w:firstLine="480"/>
              <w:rPr>
                <w:rFonts w:ascii="仿宋_GB2312" w:eastAsia="仿宋_GB2312" w:hAnsi="仿宋"/>
                <w:sz w:val="24"/>
                <w:szCs w:val="24"/>
              </w:rPr>
            </w:pPr>
            <w:r w:rsidRPr="00A67BA9">
              <w:rPr>
                <w:rFonts w:ascii="仿宋_GB2312" w:eastAsia="仿宋_GB2312" w:hAnsi="仿宋" w:hint="eastAsia"/>
                <w:sz w:val="24"/>
                <w:szCs w:val="24"/>
              </w:rPr>
              <w:t>硕士研究生第1至第4学期，每学期应提交学期论文1篇，篇幅不少于5000字。</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211" w:type="dxa"/>
            <w:vAlign w:val="center"/>
          </w:tcPr>
          <w:p w:rsidR="00A67BA9" w:rsidRPr="00A67BA9" w:rsidRDefault="00A67BA9" w:rsidP="00FD6419">
            <w:pPr>
              <w:ind w:left="-57" w:right="-57"/>
              <w:jc w:val="center"/>
              <w:rPr>
                <w:rFonts w:ascii="仿宋_GB2312" w:eastAsia="仿宋_GB2312" w:hAnsi="仿宋"/>
                <w:sz w:val="24"/>
                <w:szCs w:val="24"/>
              </w:rPr>
            </w:pPr>
          </w:p>
        </w:tc>
        <w:tc>
          <w:tcPr>
            <w:tcW w:w="992"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r w:rsidRPr="00A67BA9">
              <w:rPr>
                <w:rFonts w:ascii="仿宋_GB2312" w:eastAsia="仿宋_GB2312" w:hAnsi="仿宋" w:hint="eastAsia"/>
                <w:sz w:val="24"/>
                <w:szCs w:val="24"/>
              </w:rPr>
              <w:t>考查</w:t>
            </w:r>
          </w:p>
        </w:tc>
        <w:tc>
          <w:tcPr>
            <w:tcW w:w="1699" w:type="dxa"/>
            <w:vMerge/>
            <w:vAlign w:val="center"/>
          </w:tcPr>
          <w:p w:rsidR="00A67BA9" w:rsidRPr="00A67BA9" w:rsidRDefault="00A67BA9" w:rsidP="00FD6419">
            <w:pPr>
              <w:spacing w:line="240" w:lineRule="atLeast"/>
              <w:ind w:leftChars="-27" w:left="-57" w:right="-57"/>
              <w:jc w:val="left"/>
              <w:rPr>
                <w:rFonts w:ascii="仿宋_GB2312" w:eastAsia="仿宋_GB2312" w:hAnsi="仿宋"/>
                <w:sz w:val="24"/>
                <w:szCs w:val="24"/>
              </w:rPr>
            </w:pPr>
          </w:p>
        </w:tc>
      </w:tr>
      <w:tr w:rsidR="00A67BA9" w:rsidRPr="00A67BA9" w:rsidTr="00FD6419">
        <w:trPr>
          <w:cantSplit/>
          <w:trHeight w:val="427"/>
          <w:jc w:val="center"/>
        </w:trPr>
        <w:tc>
          <w:tcPr>
            <w:tcW w:w="2907" w:type="dxa"/>
            <w:gridSpan w:val="2"/>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2271" w:type="dxa"/>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r w:rsidRPr="00A67BA9">
              <w:rPr>
                <w:rFonts w:ascii="仿宋_GB2312" w:eastAsia="仿宋_GB2312" w:hAnsi="仿宋" w:hint="eastAsia"/>
                <w:sz w:val="24"/>
                <w:szCs w:val="24"/>
              </w:rPr>
              <w:t>3.课题研究</w:t>
            </w:r>
          </w:p>
          <w:p w:rsidR="00A67BA9" w:rsidRPr="00A67BA9" w:rsidRDefault="00A67BA9" w:rsidP="00FD6419">
            <w:pPr>
              <w:spacing w:line="240" w:lineRule="atLeast"/>
              <w:ind w:leftChars="-27" w:left="-57" w:right="-57"/>
              <w:jc w:val="center"/>
              <w:rPr>
                <w:rFonts w:ascii="仿宋_GB2312" w:eastAsia="仿宋_GB2312" w:hAnsi="仿宋"/>
                <w:sz w:val="24"/>
                <w:szCs w:val="24"/>
              </w:rPr>
            </w:pPr>
            <w:r w:rsidRPr="00A67BA9">
              <w:rPr>
                <w:rFonts w:ascii="仿宋_GB2312" w:eastAsia="仿宋_GB2312" w:hAnsi="仿宋" w:hint="eastAsia"/>
                <w:sz w:val="24"/>
                <w:szCs w:val="24"/>
              </w:rPr>
              <w:t>（导师考核）</w:t>
            </w:r>
          </w:p>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3182" w:type="dxa"/>
            <w:gridSpan w:val="2"/>
            <w:vAlign w:val="center"/>
          </w:tcPr>
          <w:p w:rsidR="00A67BA9" w:rsidRPr="00A67BA9" w:rsidRDefault="00A67BA9" w:rsidP="00FD6419">
            <w:pPr>
              <w:ind w:firstLineChars="200" w:firstLine="480"/>
              <w:rPr>
                <w:rFonts w:ascii="仿宋_GB2312" w:eastAsia="仿宋_GB2312" w:hAnsi="仿宋"/>
                <w:sz w:val="24"/>
                <w:szCs w:val="24"/>
              </w:rPr>
            </w:pPr>
            <w:r w:rsidRPr="00A67BA9">
              <w:rPr>
                <w:rFonts w:ascii="仿宋_GB2312" w:eastAsia="仿宋_GB2312" w:hAnsi="仿宋" w:hint="eastAsia"/>
                <w:sz w:val="24"/>
                <w:szCs w:val="24"/>
              </w:rPr>
              <w:t>硕士研究生通过参加导师的科研项目、学校的科研项目或实践部门的科研项目以及学院自设的科研项目等课题研究，持续时间达2学期，并提交相应的科研成果作为考核依据，计2学分。</w:t>
            </w:r>
          </w:p>
          <w:p w:rsidR="00A67BA9" w:rsidRPr="00A67BA9" w:rsidRDefault="00A67BA9" w:rsidP="00FD6419">
            <w:pPr>
              <w:ind w:firstLineChars="200" w:firstLine="480"/>
              <w:rPr>
                <w:rFonts w:ascii="仿宋_GB2312" w:eastAsia="仿宋_GB2312" w:hAnsi="仿宋"/>
                <w:sz w:val="24"/>
                <w:szCs w:val="24"/>
              </w:rPr>
            </w:pPr>
            <w:r w:rsidRPr="00A67BA9">
              <w:rPr>
                <w:rFonts w:ascii="仿宋_GB2312" w:eastAsia="仿宋_GB2312" w:hAnsi="仿宋" w:hint="eastAsia"/>
                <w:sz w:val="24"/>
                <w:szCs w:val="24"/>
              </w:rPr>
              <w:t>在学期间主持中国政法大学研究生创新基金项目的，每项计2学分；参加研究生创新基金项目的，每项计1学分。</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211" w:type="dxa"/>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992" w:type="dxa"/>
            <w:vAlign w:val="center"/>
          </w:tcPr>
          <w:p w:rsidR="00A67BA9" w:rsidRPr="00A67BA9" w:rsidRDefault="00A67BA9" w:rsidP="00FD6419">
            <w:pPr>
              <w:spacing w:line="240" w:lineRule="atLeast"/>
              <w:ind w:right="-57"/>
              <w:jc w:val="center"/>
              <w:rPr>
                <w:rFonts w:ascii="仿宋_GB2312" w:eastAsia="仿宋_GB2312" w:hAnsi="仿宋"/>
                <w:spacing w:val="-10"/>
                <w:sz w:val="24"/>
                <w:szCs w:val="24"/>
              </w:rPr>
            </w:pPr>
            <w:r w:rsidRPr="00A67BA9">
              <w:rPr>
                <w:rFonts w:ascii="仿宋_GB2312" w:eastAsia="仿宋_GB2312" w:hAnsi="仿宋" w:hint="eastAsia"/>
                <w:spacing w:val="-10"/>
                <w:sz w:val="24"/>
                <w:szCs w:val="24"/>
              </w:rPr>
              <w:t>考查</w:t>
            </w:r>
          </w:p>
        </w:tc>
        <w:tc>
          <w:tcPr>
            <w:tcW w:w="1699" w:type="dxa"/>
            <w:vMerge/>
            <w:vAlign w:val="center"/>
          </w:tcPr>
          <w:p w:rsidR="00A67BA9" w:rsidRPr="00A67BA9" w:rsidRDefault="00A67BA9" w:rsidP="00FD6419">
            <w:pPr>
              <w:spacing w:line="240" w:lineRule="atLeast"/>
              <w:ind w:leftChars="-27" w:left="-57" w:right="-57"/>
              <w:jc w:val="left"/>
              <w:rPr>
                <w:rFonts w:ascii="仿宋_GB2312" w:eastAsia="仿宋_GB2312" w:hAnsi="仿宋"/>
                <w:spacing w:val="-8"/>
                <w:sz w:val="24"/>
                <w:szCs w:val="24"/>
              </w:rPr>
            </w:pPr>
          </w:p>
        </w:tc>
      </w:tr>
      <w:tr w:rsidR="00A67BA9" w:rsidRPr="00A67BA9" w:rsidTr="00FD6419">
        <w:trPr>
          <w:cantSplit/>
          <w:trHeight w:val="642"/>
          <w:jc w:val="center"/>
        </w:trPr>
        <w:tc>
          <w:tcPr>
            <w:tcW w:w="2907" w:type="dxa"/>
            <w:gridSpan w:val="2"/>
            <w:vMerge/>
            <w:vAlign w:val="center"/>
          </w:tcPr>
          <w:p w:rsidR="00A67BA9" w:rsidRPr="00A67BA9" w:rsidRDefault="00A67BA9" w:rsidP="00FD6419">
            <w:pPr>
              <w:spacing w:line="240" w:lineRule="atLeast"/>
              <w:jc w:val="center"/>
              <w:rPr>
                <w:rFonts w:ascii="仿宋_GB2312" w:eastAsia="仿宋_GB2312" w:hAnsi="仿宋"/>
                <w:sz w:val="24"/>
                <w:szCs w:val="24"/>
              </w:rPr>
            </w:pPr>
          </w:p>
        </w:tc>
        <w:tc>
          <w:tcPr>
            <w:tcW w:w="2271" w:type="dxa"/>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r w:rsidRPr="00A67BA9">
              <w:rPr>
                <w:rFonts w:ascii="仿宋_GB2312" w:eastAsia="仿宋_GB2312" w:hAnsi="仿宋" w:hint="eastAsia"/>
                <w:sz w:val="24"/>
                <w:szCs w:val="24"/>
              </w:rPr>
              <w:t>4.社会实践</w:t>
            </w:r>
          </w:p>
          <w:p w:rsidR="00A67BA9" w:rsidRPr="00A67BA9" w:rsidRDefault="00A67BA9" w:rsidP="00FD6419">
            <w:pPr>
              <w:spacing w:line="240" w:lineRule="atLeast"/>
              <w:ind w:leftChars="-27" w:left="-57" w:right="-57"/>
              <w:jc w:val="center"/>
              <w:rPr>
                <w:rFonts w:ascii="仿宋_GB2312" w:eastAsia="仿宋_GB2312" w:hAnsi="仿宋"/>
                <w:sz w:val="24"/>
                <w:szCs w:val="24"/>
              </w:rPr>
            </w:pPr>
            <w:r w:rsidRPr="00A67BA9">
              <w:rPr>
                <w:rFonts w:ascii="仿宋_GB2312" w:eastAsia="仿宋_GB2312" w:hAnsi="仿宋" w:hint="eastAsia"/>
                <w:sz w:val="24"/>
                <w:szCs w:val="24"/>
              </w:rPr>
              <w:t>（导师考核）</w:t>
            </w:r>
          </w:p>
        </w:tc>
        <w:tc>
          <w:tcPr>
            <w:tcW w:w="3182" w:type="dxa"/>
            <w:gridSpan w:val="2"/>
            <w:vAlign w:val="center"/>
          </w:tcPr>
          <w:p w:rsidR="00A67BA9" w:rsidRPr="00A67BA9" w:rsidRDefault="00A67BA9" w:rsidP="00FD6419">
            <w:pPr>
              <w:ind w:firstLineChars="200" w:firstLine="480"/>
              <w:rPr>
                <w:rFonts w:ascii="仿宋_GB2312" w:eastAsia="仿宋_GB2312" w:hAnsi="仿宋"/>
                <w:sz w:val="24"/>
                <w:szCs w:val="24"/>
              </w:rPr>
            </w:pPr>
            <w:r w:rsidRPr="00A67BA9">
              <w:rPr>
                <w:rFonts w:ascii="仿宋_GB2312" w:eastAsia="仿宋_GB2312" w:hAnsi="仿宋" w:hint="eastAsia"/>
                <w:sz w:val="24"/>
                <w:szCs w:val="24"/>
              </w:rPr>
              <w:t>为学术型硕士研究生的必修环节。社会实践可以通过专业实习、挂职锻炼、产学研基地联合培养和社会调查等走入社会的方式进行，以专业实习为主。时间一般不得少于2个月，应提交实践单位鉴定意见和不少于2000字的实践总结报告，计2学分。</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r w:rsidRPr="00A67BA9">
              <w:rPr>
                <w:rFonts w:ascii="仿宋_GB2312" w:eastAsia="仿宋_GB2312" w:hAnsi="仿宋" w:hint="eastAsia"/>
                <w:sz w:val="24"/>
                <w:szCs w:val="24"/>
              </w:rPr>
              <w:t>2</w:t>
            </w:r>
          </w:p>
        </w:tc>
        <w:tc>
          <w:tcPr>
            <w:tcW w:w="709" w:type="dxa"/>
            <w:vAlign w:val="center"/>
          </w:tcPr>
          <w:p w:rsidR="00A67BA9" w:rsidRPr="00A67BA9" w:rsidRDefault="00A67BA9" w:rsidP="00FD6419">
            <w:pPr>
              <w:ind w:left="-57"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211" w:type="dxa"/>
            <w:vAlign w:val="center"/>
          </w:tcPr>
          <w:p w:rsidR="00A67BA9" w:rsidRPr="00A67BA9" w:rsidRDefault="00A67BA9" w:rsidP="00FD6419">
            <w:pPr>
              <w:spacing w:line="240" w:lineRule="atLeast"/>
              <w:ind w:leftChars="-27" w:left="-57" w:right="-57"/>
              <w:jc w:val="center"/>
              <w:rPr>
                <w:rFonts w:ascii="仿宋_GB2312" w:eastAsia="仿宋_GB2312" w:hAnsi="仿宋"/>
                <w:sz w:val="24"/>
                <w:szCs w:val="24"/>
              </w:rPr>
            </w:pPr>
          </w:p>
        </w:tc>
        <w:tc>
          <w:tcPr>
            <w:tcW w:w="992" w:type="dxa"/>
            <w:vAlign w:val="center"/>
          </w:tcPr>
          <w:p w:rsidR="00A67BA9" w:rsidRPr="00A67BA9" w:rsidRDefault="00A67BA9" w:rsidP="00FD6419">
            <w:pPr>
              <w:spacing w:line="240" w:lineRule="atLeast"/>
              <w:ind w:right="-57"/>
              <w:jc w:val="center"/>
              <w:rPr>
                <w:rFonts w:ascii="仿宋_GB2312" w:eastAsia="仿宋_GB2312" w:hAnsi="仿宋"/>
                <w:spacing w:val="-10"/>
                <w:sz w:val="24"/>
                <w:szCs w:val="24"/>
              </w:rPr>
            </w:pPr>
            <w:r w:rsidRPr="00A67BA9">
              <w:rPr>
                <w:rFonts w:ascii="仿宋_GB2312" w:eastAsia="仿宋_GB2312" w:hAnsi="仿宋" w:hint="eastAsia"/>
                <w:spacing w:val="-10"/>
                <w:sz w:val="24"/>
                <w:szCs w:val="24"/>
              </w:rPr>
              <w:t>考查</w:t>
            </w:r>
          </w:p>
        </w:tc>
        <w:tc>
          <w:tcPr>
            <w:tcW w:w="1699" w:type="dxa"/>
            <w:vMerge/>
            <w:vAlign w:val="center"/>
          </w:tcPr>
          <w:p w:rsidR="00A67BA9" w:rsidRPr="00A67BA9" w:rsidRDefault="00A67BA9" w:rsidP="00FD6419">
            <w:pPr>
              <w:spacing w:line="240" w:lineRule="atLeast"/>
              <w:ind w:leftChars="-27" w:left="-57" w:right="-57"/>
              <w:jc w:val="left"/>
              <w:rPr>
                <w:rFonts w:ascii="仿宋_GB2312" w:eastAsia="仿宋_GB2312" w:hAnsi="仿宋"/>
                <w:spacing w:val="-8"/>
                <w:sz w:val="24"/>
                <w:szCs w:val="24"/>
              </w:rPr>
            </w:pPr>
          </w:p>
        </w:tc>
      </w:tr>
      <w:tr w:rsidR="00A67BA9" w:rsidRPr="00A67BA9" w:rsidTr="00FD6419">
        <w:trPr>
          <w:cantSplit/>
          <w:trHeight w:val="566"/>
          <w:jc w:val="center"/>
        </w:trPr>
        <w:tc>
          <w:tcPr>
            <w:tcW w:w="2907" w:type="dxa"/>
            <w:gridSpan w:val="2"/>
            <w:vAlign w:val="center"/>
          </w:tcPr>
          <w:p w:rsidR="00A67BA9" w:rsidRPr="00A67BA9" w:rsidRDefault="00A67BA9" w:rsidP="00FD6419">
            <w:pPr>
              <w:spacing w:line="240" w:lineRule="atLeast"/>
              <w:jc w:val="center"/>
              <w:rPr>
                <w:rFonts w:ascii="仿宋_GB2312" w:eastAsia="仿宋_GB2312" w:hAnsi="仿宋"/>
                <w:sz w:val="24"/>
                <w:szCs w:val="24"/>
              </w:rPr>
            </w:pPr>
            <w:r w:rsidRPr="00A67BA9">
              <w:rPr>
                <w:rFonts w:ascii="仿宋_GB2312" w:eastAsia="仿宋_GB2312" w:hAnsi="仿宋" w:hint="eastAsia"/>
                <w:sz w:val="24"/>
                <w:szCs w:val="24"/>
              </w:rPr>
              <w:t>合计</w:t>
            </w:r>
          </w:p>
        </w:tc>
        <w:tc>
          <w:tcPr>
            <w:tcW w:w="2271"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3182" w:type="dxa"/>
            <w:gridSpan w:val="2"/>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709" w:type="dxa"/>
            <w:vAlign w:val="center"/>
          </w:tcPr>
          <w:p w:rsidR="00A67BA9" w:rsidRPr="00A67BA9" w:rsidRDefault="00A67BA9" w:rsidP="00FD6419">
            <w:pPr>
              <w:spacing w:line="240" w:lineRule="atLeast"/>
              <w:ind w:right="-57"/>
              <w:rPr>
                <w:rFonts w:ascii="仿宋_GB2312" w:eastAsia="仿宋_GB2312" w:hAnsi="仿宋"/>
                <w:sz w:val="24"/>
                <w:szCs w:val="24"/>
              </w:rPr>
            </w:pPr>
          </w:p>
        </w:tc>
        <w:tc>
          <w:tcPr>
            <w:tcW w:w="1211" w:type="dxa"/>
            <w:vAlign w:val="center"/>
          </w:tcPr>
          <w:p w:rsidR="00A67BA9" w:rsidRPr="00A67BA9" w:rsidRDefault="00A67BA9" w:rsidP="00FD6419">
            <w:pPr>
              <w:spacing w:line="240" w:lineRule="atLeast"/>
              <w:ind w:leftChars="-27" w:left="-57" w:right="-57" w:firstLineChars="200" w:firstLine="480"/>
              <w:jc w:val="center"/>
              <w:rPr>
                <w:rFonts w:ascii="仿宋_GB2312" w:eastAsia="仿宋_GB2312" w:hAnsi="仿宋"/>
                <w:sz w:val="24"/>
                <w:szCs w:val="24"/>
              </w:rPr>
            </w:pPr>
          </w:p>
        </w:tc>
        <w:tc>
          <w:tcPr>
            <w:tcW w:w="992" w:type="dxa"/>
            <w:vAlign w:val="center"/>
          </w:tcPr>
          <w:p w:rsidR="00A67BA9" w:rsidRPr="00A67BA9" w:rsidRDefault="00A67BA9" w:rsidP="00FD6419">
            <w:pPr>
              <w:spacing w:line="240" w:lineRule="atLeast"/>
              <w:ind w:right="-57"/>
              <w:jc w:val="center"/>
              <w:rPr>
                <w:rFonts w:ascii="仿宋_GB2312" w:eastAsia="仿宋_GB2312" w:hAnsi="仿宋"/>
                <w:sz w:val="24"/>
                <w:szCs w:val="24"/>
              </w:rPr>
            </w:pPr>
          </w:p>
        </w:tc>
        <w:tc>
          <w:tcPr>
            <w:tcW w:w="1699" w:type="dxa"/>
            <w:vAlign w:val="center"/>
          </w:tcPr>
          <w:p w:rsidR="00A67BA9" w:rsidRPr="00A67BA9" w:rsidRDefault="00A67BA9" w:rsidP="00FD6419">
            <w:pPr>
              <w:spacing w:line="240" w:lineRule="atLeast"/>
              <w:ind w:right="-57"/>
              <w:jc w:val="left"/>
              <w:rPr>
                <w:rFonts w:ascii="仿宋_GB2312" w:eastAsia="仿宋_GB2312" w:hAnsi="仿宋"/>
                <w:sz w:val="24"/>
                <w:szCs w:val="24"/>
              </w:rPr>
            </w:pPr>
            <w:r w:rsidRPr="00A67BA9">
              <w:rPr>
                <w:rFonts w:ascii="仿宋_GB2312" w:eastAsia="仿宋_GB2312" w:hAnsi="仿宋" w:hint="eastAsia"/>
                <w:sz w:val="24"/>
                <w:szCs w:val="24"/>
              </w:rPr>
              <w:t>总学分不少于</w:t>
            </w:r>
            <w:r w:rsidR="00FD6419">
              <w:rPr>
                <w:rFonts w:ascii="仿宋_GB2312" w:eastAsia="仿宋_GB2312" w:hAnsi="仿宋" w:hint="eastAsia"/>
                <w:sz w:val="24"/>
                <w:szCs w:val="24"/>
              </w:rPr>
              <w:t>37</w:t>
            </w:r>
            <w:r w:rsidRPr="00A67BA9">
              <w:rPr>
                <w:rFonts w:ascii="仿宋_GB2312" w:eastAsia="仿宋_GB2312" w:hAnsi="仿宋" w:hint="eastAsia"/>
                <w:sz w:val="24"/>
                <w:szCs w:val="24"/>
              </w:rPr>
              <w:t>学分；非法学本科毕业生需加修法学补修课程2门4学分。</w:t>
            </w:r>
          </w:p>
        </w:tc>
      </w:tr>
    </w:tbl>
    <w:p w:rsidR="00A67BA9" w:rsidRPr="00A67BA9" w:rsidRDefault="00A67BA9" w:rsidP="00A67BA9"/>
    <w:p w:rsidR="003F1810" w:rsidRPr="00A67BA9" w:rsidRDefault="003F1810" w:rsidP="003F1810">
      <w:pPr>
        <w:jc w:val="right"/>
      </w:pPr>
    </w:p>
    <w:sectPr w:rsidR="003F1810" w:rsidRPr="00A67BA9" w:rsidSect="00FD6419">
      <w:pgSz w:w="16838" w:h="11906" w:orient="landscape" w:code="9"/>
      <w:pgMar w:top="992" w:right="1440" w:bottom="851" w:left="144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60" w:rsidRDefault="00F73F60" w:rsidP="00013707">
      <w:r>
        <w:separator/>
      </w:r>
    </w:p>
  </w:endnote>
  <w:endnote w:type="continuationSeparator" w:id="0">
    <w:p w:rsidR="00F73F60" w:rsidRDefault="00F73F60" w:rsidP="0001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60" w:rsidRDefault="00F73F60" w:rsidP="00013707">
      <w:r>
        <w:separator/>
      </w:r>
    </w:p>
  </w:footnote>
  <w:footnote w:type="continuationSeparator" w:id="0">
    <w:p w:rsidR="00F73F60" w:rsidRDefault="00F73F60" w:rsidP="0001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3"/>
    <w:multiLevelType w:val="multilevel"/>
    <w:tmpl w:val="00000043"/>
    <w:lvl w:ilvl="0">
      <w:start w:val="1"/>
      <w:numFmt w:val="decimal"/>
      <w:lvlText w:val="%1."/>
      <w:lvlJc w:val="left"/>
      <w:pPr>
        <w:tabs>
          <w:tab w:val="num" w:pos="453"/>
        </w:tabs>
        <w:ind w:left="453" w:hanging="360"/>
      </w:pPr>
      <w:rPr>
        <w:rFonts w:hint="default"/>
      </w:rPr>
    </w:lvl>
    <w:lvl w:ilvl="1">
      <w:start w:val="1"/>
      <w:numFmt w:val="lowerLetter"/>
      <w:lvlText w:val="%2)"/>
      <w:lvlJc w:val="left"/>
      <w:pPr>
        <w:tabs>
          <w:tab w:val="num" w:pos="933"/>
        </w:tabs>
        <w:ind w:left="933" w:hanging="420"/>
      </w:pPr>
    </w:lvl>
    <w:lvl w:ilvl="2">
      <w:start w:val="1"/>
      <w:numFmt w:val="lowerRoman"/>
      <w:lvlText w:val="%3."/>
      <w:lvlJc w:val="right"/>
      <w:pPr>
        <w:tabs>
          <w:tab w:val="num" w:pos="1353"/>
        </w:tabs>
        <w:ind w:left="1353" w:hanging="420"/>
      </w:pPr>
    </w:lvl>
    <w:lvl w:ilvl="3">
      <w:start w:val="1"/>
      <w:numFmt w:val="decimal"/>
      <w:lvlText w:val="%4."/>
      <w:lvlJc w:val="left"/>
      <w:pPr>
        <w:tabs>
          <w:tab w:val="num" w:pos="1773"/>
        </w:tabs>
        <w:ind w:left="1773" w:hanging="420"/>
      </w:pPr>
    </w:lvl>
    <w:lvl w:ilvl="4">
      <w:start w:val="1"/>
      <w:numFmt w:val="lowerLetter"/>
      <w:lvlText w:val="%5)"/>
      <w:lvlJc w:val="left"/>
      <w:pPr>
        <w:tabs>
          <w:tab w:val="num" w:pos="2193"/>
        </w:tabs>
        <w:ind w:left="2193" w:hanging="420"/>
      </w:pPr>
    </w:lvl>
    <w:lvl w:ilvl="5">
      <w:start w:val="1"/>
      <w:numFmt w:val="lowerRoman"/>
      <w:lvlText w:val="%6."/>
      <w:lvlJc w:val="right"/>
      <w:pPr>
        <w:tabs>
          <w:tab w:val="num" w:pos="2613"/>
        </w:tabs>
        <w:ind w:left="2613" w:hanging="420"/>
      </w:pPr>
    </w:lvl>
    <w:lvl w:ilvl="6">
      <w:start w:val="1"/>
      <w:numFmt w:val="decimal"/>
      <w:lvlText w:val="%7."/>
      <w:lvlJc w:val="left"/>
      <w:pPr>
        <w:tabs>
          <w:tab w:val="num" w:pos="3033"/>
        </w:tabs>
        <w:ind w:left="3033" w:hanging="420"/>
      </w:pPr>
    </w:lvl>
    <w:lvl w:ilvl="7">
      <w:start w:val="1"/>
      <w:numFmt w:val="lowerLetter"/>
      <w:lvlText w:val="%8)"/>
      <w:lvlJc w:val="left"/>
      <w:pPr>
        <w:tabs>
          <w:tab w:val="num" w:pos="3453"/>
        </w:tabs>
        <w:ind w:left="3453" w:hanging="420"/>
      </w:pPr>
    </w:lvl>
    <w:lvl w:ilvl="8">
      <w:start w:val="1"/>
      <w:numFmt w:val="lowerRoman"/>
      <w:lvlText w:val="%9."/>
      <w:lvlJc w:val="right"/>
      <w:pPr>
        <w:tabs>
          <w:tab w:val="num" w:pos="3873"/>
        </w:tabs>
        <w:ind w:left="38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10"/>
    <w:rsid w:val="00000364"/>
    <w:rsid w:val="000005D2"/>
    <w:rsid w:val="000134C2"/>
    <w:rsid w:val="00013707"/>
    <w:rsid w:val="0001425A"/>
    <w:rsid w:val="00024F91"/>
    <w:rsid w:val="00025101"/>
    <w:rsid w:val="000258D2"/>
    <w:rsid w:val="00037D71"/>
    <w:rsid w:val="0004137E"/>
    <w:rsid w:val="00041FC5"/>
    <w:rsid w:val="00042291"/>
    <w:rsid w:val="00042EDB"/>
    <w:rsid w:val="00045DC3"/>
    <w:rsid w:val="0005134E"/>
    <w:rsid w:val="00056CC8"/>
    <w:rsid w:val="00057020"/>
    <w:rsid w:val="00060976"/>
    <w:rsid w:val="00065B5F"/>
    <w:rsid w:val="000671B1"/>
    <w:rsid w:val="0007216A"/>
    <w:rsid w:val="00075052"/>
    <w:rsid w:val="00080D37"/>
    <w:rsid w:val="00081825"/>
    <w:rsid w:val="00081F39"/>
    <w:rsid w:val="00083E76"/>
    <w:rsid w:val="000924E8"/>
    <w:rsid w:val="00093C1C"/>
    <w:rsid w:val="000950E8"/>
    <w:rsid w:val="000A105A"/>
    <w:rsid w:val="000A445F"/>
    <w:rsid w:val="000A6752"/>
    <w:rsid w:val="000A6925"/>
    <w:rsid w:val="000A721B"/>
    <w:rsid w:val="000B235A"/>
    <w:rsid w:val="000B3687"/>
    <w:rsid w:val="000B7064"/>
    <w:rsid w:val="000C0DBA"/>
    <w:rsid w:val="000D04AF"/>
    <w:rsid w:val="000D224F"/>
    <w:rsid w:val="000D315D"/>
    <w:rsid w:val="000D5146"/>
    <w:rsid w:val="000E5534"/>
    <w:rsid w:val="000E610E"/>
    <w:rsid w:val="000F00E2"/>
    <w:rsid w:val="000F0F92"/>
    <w:rsid w:val="000F0FA4"/>
    <w:rsid w:val="000F1E22"/>
    <w:rsid w:val="000F303C"/>
    <w:rsid w:val="000F3581"/>
    <w:rsid w:val="000F72DC"/>
    <w:rsid w:val="00102D7B"/>
    <w:rsid w:val="00103D45"/>
    <w:rsid w:val="00105534"/>
    <w:rsid w:val="0010622F"/>
    <w:rsid w:val="001073B1"/>
    <w:rsid w:val="00115C4B"/>
    <w:rsid w:val="00117102"/>
    <w:rsid w:val="00127411"/>
    <w:rsid w:val="00127BCF"/>
    <w:rsid w:val="00137C1B"/>
    <w:rsid w:val="00144D9B"/>
    <w:rsid w:val="00145369"/>
    <w:rsid w:val="00147F5B"/>
    <w:rsid w:val="00150893"/>
    <w:rsid w:val="00155DB8"/>
    <w:rsid w:val="00155ED7"/>
    <w:rsid w:val="00156E14"/>
    <w:rsid w:val="0016119A"/>
    <w:rsid w:val="00163C29"/>
    <w:rsid w:val="001652F3"/>
    <w:rsid w:val="0016582B"/>
    <w:rsid w:val="00166E97"/>
    <w:rsid w:val="00166F93"/>
    <w:rsid w:val="00167D2E"/>
    <w:rsid w:val="00172229"/>
    <w:rsid w:val="001768DD"/>
    <w:rsid w:val="001912B4"/>
    <w:rsid w:val="001956F3"/>
    <w:rsid w:val="001A2A11"/>
    <w:rsid w:val="001A3345"/>
    <w:rsid w:val="001B51DA"/>
    <w:rsid w:val="001B66B5"/>
    <w:rsid w:val="001B6C06"/>
    <w:rsid w:val="001C12C3"/>
    <w:rsid w:val="001C29EE"/>
    <w:rsid w:val="001C3DB7"/>
    <w:rsid w:val="001C522F"/>
    <w:rsid w:val="001D0E02"/>
    <w:rsid w:val="001D73A7"/>
    <w:rsid w:val="001D77DE"/>
    <w:rsid w:val="001E4838"/>
    <w:rsid w:val="001E5B98"/>
    <w:rsid w:val="001F1C9E"/>
    <w:rsid w:val="001F77B5"/>
    <w:rsid w:val="001F7CEC"/>
    <w:rsid w:val="0020270B"/>
    <w:rsid w:val="002030C7"/>
    <w:rsid w:val="002044A3"/>
    <w:rsid w:val="00205939"/>
    <w:rsid w:val="00210F2B"/>
    <w:rsid w:val="0021384F"/>
    <w:rsid w:val="002148D3"/>
    <w:rsid w:val="00221743"/>
    <w:rsid w:val="00222E97"/>
    <w:rsid w:val="00223B77"/>
    <w:rsid w:val="002241FD"/>
    <w:rsid w:val="002323B8"/>
    <w:rsid w:val="00232E9C"/>
    <w:rsid w:val="00237B46"/>
    <w:rsid w:val="00240FCF"/>
    <w:rsid w:val="002415A8"/>
    <w:rsid w:val="00243339"/>
    <w:rsid w:val="00243FC0"/>
    <w:rsid w:val="00244C2F"/>
    <w:rsid w:val="00247574"/>
    <w:rsid w:val="00247FDB"/>
    <w:rsid w:val="00255FA6"/>
    <w:rsid w:val="00261895"/>
    <w:rsid w:val="00272D6C"/>
    <w:rsid w:val="002838F6"/>
    <w:rsid w:val="002903CC"/>
    <w:rsid w:val="002904EC"/>
    <w:rsid w:val="002939C3"/>
    <w:rsid w:val="00293D03"/>
    <w:rsid w:val="00294052"/>
    <w:rsid w:val="002A0CD6"/>
    <w:rsid w:val="002A2456"/>
    <w:rsid w:val="002A552C"/>
    <w:rsid w:val="002A79E9"/>
    <w:rsid w:val="002B176B"/>
    <w:rsid w:val="002B3EE0"/>
    <w:rsid w:val="002B56D6"/>
    <w:rsid w:val="002B5B50"/>
    <w:rsid w:val="002B6F2D"/>
    <w:rsid w:val="002C1880"/>
    <w:rsid w:val="002C37A6"/>
    <w:rsid w:val="002D7714"/>
    <w:rsid w:val="002E2057"/>
    <w:rsid w:val="002E3099"/>
    <w:rsid w:val="002E35C4"/>
    <w:rsid w:val="002F4169"/>
    <w:rsid w:val="00301A79"/>
    <w:rsid w:val="0030489E"/>
    <w:rsid w:val="003055DD"/>
    <w:rsid w:val="00310C99"/>
    <w:rsid w:val="003121AE"/>
    <w:rsid w:val="003158E2"/>
    <w:rsid w:val="00322699"/>
    <w:rsid w:val="003356D7"/>
    <w:rsid w:val="00336FA2"/>
    <w:rsid w:val="00345B9A"/>
    <w:rsid w:val="0035043D"/>
    <w:rsid w:val="003526B0"/>
    <w:rsid w:val="003548F5"/>
    <w:rsid w:val="00356170"/>
    <w:rsid w:val="00356A9F"/>
    <w:rsid w:val="003649C4"/>
    <w:rsid w:val="00364CD5"/>
    <w:rsid w:val="00365D74"/>
    <w:rsid w:val="00370993"/>
    <w:rsid w:val="003715A7"/>
    <w:rsid w:val="0037506A"/>
    <w:rsid w:val="003771C6"/>
    <w:rsid w:val="0038528F"/>
    <w:rsid w:val="003868A2"/>
    <w:rsid w:val="003937CB"/>
    <w:rsid w:val="00393E67"/>
    <w:rsid w:val="00394034"/>
    <w:rsid w:val="00396684"/>
    <w:rsid w:val="00396819"/>
    <w:rsid w:val="003A22B8"/>
    <w:rsid w:val="003A4978"/>
    <w:rsid w:val="003B0C83"/>
    <w:rsid w:val="003B2268"/>
    <w:rsid w:val="003C023C"/>
    <w:rsid w:val="003C436D"/>
    <w:rsid w:val="003C7557"/>
    <w:rsid w:val="003D0B66"/>
    <w:rsid w:val="003D1134"/>
    <w:rsid w:val="003D32B3"/>
    <w:rsid w:val="003D481B"/>
    <w:rsid w:val="003E3DF7"/>
    <w:rsid w:val="003E6193"/>
    <w:rsid w:val="003F0BEB"/>
    <w:rsid w:val="003F1810"/>
    <w:rsid w:val="003F6156"/>
    <w:rsid w:val="003F76ED"/>
    <w:rsid w:val="0040095C"/>
    <w:rsid w:val="00404EA6"/>
    <w:rsid w:val="004065A1"/>
    <w:rsid w:val="0040720A"/>
    <w:rsid w:val="0041122B"/>
    <w:rsid w:val="00412DD9"/>
    <w:rsid w:val="00414470"/>
    <w:rsid w:val="00421512"/>
    <w:rsid w:val="00425236"/>
    <w:rsid w:val="00427828"/>
    <w:rsid w:val="00430669"/>
    <w:rsid w:val="00447A20"/>
    <w:rsid w:val="00450BA3"/>
    <w:rsid w:val="0045295C"/>
    <w:rsid w:val="00452BF2"/>
    <w:rsid w:val="004553C6"/>
    <w:rsid w:val="00456AFA"/>
    <w:rsid w:val="0046147A"/>
    <w:rsid w:val="00464557"/>
    <w:rsid w:val="00466502"/>
    <w:rsid w:val="004702E7"/>
    <w:rsid w:val="004722A9"/>
    <w:rsid w:val="004752E5"/>
    <w:rsid w:val="00476D48"/>
    <w:rsid w:val="0048182F"/>
    <w:rsid w:val="00486432"/>
    <w:rsid w:val="00492E0A"/>
    <w:rsid w:val="0049317E"/>
    <w:rsid w:val="004A0ADC"/>
    <w:rsid w:val="004A2C12"/>
    <w:rsid w:val="004A3045"/>
    <w:rsid w:val="004A3243"/>
    <w:rsid w:val="004A552F"/>
    <w:rsid w:val="004A7F2C"/>
    <w:rsid w:val="004B288E"/>
    <w:rsid w:val="004E1476"/>
    <w:rsid w:val="004F0095"/>
    <w:rsid w:val="004F4ACA"/>
    <w:rsid w:val="005046E0"/>
    <w:rsid w:val="0051032B"/>
    <w:rsid w:val="00514FA3"/>
    <w:rsid w:val="00527F21"/>
    <w:rsid w:val="00531286"/>
    <w:rsid w:val="00531571"/>
    <w:rsid w:val="00536AF2"/>
    <w:rsid w:val="00540905"/>
    <w:rsid w:val="00544271"/>
    <w:rsid w:val="005455E7"/>
    <w:rsid w:val="0055209A"/>
    <w:rsid w:val="00552A02"/>
    <w:rsid w:val="00553D42"/>
    <w:rsid w:val="00554828"/>
    <w:rsid w:val="00554B95"/>
    <w:rsid w:val="005610DA"/>
    <w:rsid w:val="005620F1"/>
    <w:rsid w:val="0056307C"/>
    <w:rsid w:val="0056576D"/>
    <w:rsid w:val="00565952"/>
    <w:rsid w:val="00565BCB"/>
    <w:rsid w:val="005763B5"/>
    <w:rsid w:val="005852BF"/>
    <w:rsid w:val="0058599D"/>
    <w:rsid w:val="005A34C9"/>
    <w:rsid w:val="005A3FB2"/>
    <w:rsid w:val="005A40AE"/>
    <w:rsid w:val="005A7124"/>
    <w:rsid w:val="005A79A6"/>
    <w:rsid w:val="005B401B"/>
    <w:rsid w:val="005B4537"/>
    <w:rsid w:val="005B6782"/>
    <w:rsid w:val="005C0AC2"/>
    <w:rsid w:val="005C2565"/>
    <w:rsid w:val="005D1DAC"/>
    <w:rsid w:val="005D3FB2"/>
    <w:rsid w:val="005D56C8"/>
    <w:rsid w:val="005D6E0F"/>
    <w:rsid w:val="005E00EE"/>
    <w:rsid w:val="005E0CE6"/>
    <w:rsid w:val="005E1700"/>
    <w:rsid w:val="005E1891"/>
    <w:rsid w:val="005F24D5"/>
    <w:rsid w:val="005F3D4D"/>
    <w:rsid w:val="005F4F19"/>
    <w:rsid w:val="005F5542"/>
    <w:rsid w:val="005F5B3E"/>
    <w:rsid w:val="006044EE"/>
    <w:rsid w:val="00606AFD"/>
    <w:rsid w:val="00612452"/>
    <w:rsid w:val="0061717D"/>
    <w:rsid w:val="00617C49"/>
    <w:rsid w:val="00622E30"/>
    <w:rsid w:val="00624069"/>
    <w:rsid w:val="00634C07"/>
    <w:rsid w:val="00635FE2"/>
    <w:rsid w:val="006407A3"/>
    <w:rsid w:val="00642FB1"/>
    <w:rsid w:val="00652F07"/>
    <w:rsid w:val="006548D8"/>
    <w:rsid w:val="006556DF"/>
    <w:rsid w:val="00656E18"/>
    <w:rsid w:val="0066176C"/>
    <w:rsid w:val="006654EC"/>
    <w:rsid w:val="0068142E"/>
    <w:rsid w:val="00684A67"/>
    <w:rsid w:val="006A2376"/>
    <w:rsid w:val="006A3D10"/>
    <w:rsid w:val="006A4AA1"/>
    <w:rsid w:val="006A517C"/>
    <w:rsid w:val="006A5AA8"/>
    <w:rsid w:val="006B10FE"/>
    <w:rsid w:val="006B6148"/>
    <w:rsid w:val="006C0AB7"/>
    <w:rsid w:val="006C0B59"/>
    <w:rsid w:val="006C4981"/>
    <w:rsid w:val="006D213E"/>
    <w:rsid w:val="006D2F57"/>
    <w:rsid w:val="006D5AAB"/>
    <w:rsid w:val="006E1A71"/>
    <w:rsid w:val="006E3D3D"/>
    <w:rsid w:val="006F2619"/>
    <w:rsid w:val="006F2D4C"/>
    <w:rsid w:val="007038DA"/>
    <w:rsid w:val="00704808"/>
    <w:rsid w:val="00714FCA"/>
    <w:rsid w:val="00715AE7"/>
    <w:rsid w:val="00715DD6"/>
    <w:rsid w:val="00720944"/>
    <w:rsid w:val="007242AC"/>
    <w:rsid w:val="00732E94"/>
    <w:rsid w:val="00736711"/>
    <w:rsid w:val="007410CA"/>
    <w:rsid w:val="00745AE5"/>
    <w:rsid w:val="00753276"/>
    <w:rsid w:val="00754372"/>
    <w:rsid w:val="007546F3"/>
    <w:rsid w:val="00756A16"/>
    <w:rsid w:val="007627B5"/>
    <w:rsid w:val="007673A6"/>
    <w:rsid w:val="0077003A"/>
    <w:rsid w:val="00770C74"/>
    <w:rsid w:val="007758B8"/>
    <w:rsid w:val="00781FCA"/>
    <w:rsid w:val="00785F7B"/>
    <w:rsid w:val="00790F21"/>
    <w:rsid w:val="0079239A"/>
    <w:rsid w:val="00793913"/>
    <w:rsid w:val="007B0C97"/>
    <w:rsid w:val="007B30D9"/>
    <w:rsid w:val="007B6791"/>
    <w:rsid w:val="007C24C9"/>
    <w:rsid w:val="007C3455"/>
    <w:rsid w:val="007C7EAD"/>
    <w:rsid w:val="007D03FA"/>
    <w:rsid w:val="007D057B"/>
    <w:rsid w:val="007D20FB"/>
    <w:rsid w:val="007D3CBB"/>
    <w:rsid w:val="007E7C44"/>
    <w:rsid w:val="007F27C3"/>
    <w:rsid w:val="007F327C"/>
    <w:rsid w:val="00803664"/>
    <w:rsid w:val="008133C9"/>
    <w:rsid w:val="00813B4F"/>
    <w:rsid w:val="00814913"/>
    <w:rsid w:val="008208DA"/>
    <w:rsid w:val="00821DC0"/>
    <w:rsid w:val="00822044"/>
    <w:rsid w:val="008221D2"/>
    <w:rsid w:val="00825DE2"/>
    <w:rsid w:val="0082770B"/>
    <w:rsid w:val="00835422"/>
    <w:rsid w:val="0083653D"/>
    <w:rsid w:val="00837C10"/>
    <w:rsid w:val="00840865"/>
    <w:rsid w:val="00846885"/>
    <w:rsid w:val="00847179"/>
    <w:rsid w:val="00851D0B"/>
    <w:rsid w:val="0085289B"/>
    <w:rsid w:val="00855E5B"/>
    <w:rsid w:val="00857011"/>
    <w:rsid w:val="00860795"/>
    <w:rsid w:val="00860CD9"/>
    <w:rsid w:val="008613A3"/>
    <w:rsid w:val="0086274D"/>
    <w:rsid w:val="0087176C"/>
    <w:rsid w:val="00875086"/>
    <w:rsid w:val="0088315F"/>
    <w:rsid w:val="008863AB"/>
    <w:rsid w:val="008907EA"/>
    <w:rsid w:val="008921FB"/>
    <w:rsid w:val="008A0F5E"/>
    <w:rsid w:val="008A342A"/>
    <w:rsid w:val="008B4417"/>
    <w:rsid w:val="008B4773"/>
    <w:rsid w:val="008B61C3"/>
    <w:rsid w:val="008B68C2"/>
    <w:rsid w:val="008C29F5"/>
    <w:rsid w:val="008C5EED"/>
    <w:rsid w:val="008D5C48"/>
    <w:rsid w:val="008D6A02"/>
    <w:rsid w:val="008E33D2"/>
    <w:rsid w:val="008E762B"/>
    <w:rsid w:val="008F08A7"/>
    <w:rsid w:val="008F2BCE"/>
    <w:rsid w:val="008F2BF8"/>
    <w:rsid w:val="008F34FF"/>
    <w:rsid w:val="00901799"/>
    <w:rsid w:val="00901805"/>
    <w:rsid w:val="00901BA7"/>
    <w:rsid w:val="00901D33"/>
    <w:rsid w:val="0090496F"/>
    <w:rsid w:val="00904CAF"/>
    <w:rsid w:val="00910A91"/>
    <w:rsid w:val="00913B19"/>
    <w:rsid w:val="00923E0A"/>
    <w:rsid w:val="00924861"/>
    <w:rsid w:val="0093752D"/>
    <w:rsid w:val="00937EA9"/>
    <w:rsid w:val="00941DA4"/>
    <w:rsid w:val="00943B8B"/>
    <w:rsid w:val="00944E53"/>
    <w:rsid w:val="00947EED"/>
    <w:rsid w:val="00951947"/>
    <w:rsid w:val="00953472"/>
    <w:rsid w:val="0095511C"/>
    <w:rsid w:val="0095725F"/>
    <w:rsid w:val="00964B12"/>
    <w:rsid w:val="00965148"/>
    <w:rsid w:val="00966D8A"/>
    <w:rsid w:val="009734C0"/>
    <w:rsid w:val="009827E4"/>
    <w:rsid w:val="0099281B"/>
    <w:rsid w:val="009948CF"/>
    <w:rsid w:val="009A4695"/>
    <w:rsid w:val="009A5116"/>
    <w:rsid w:val="009B1019"/>
    <w:rsid w:val="009B4BCF"/>
    <w:rsid w:val="009B5F19"/>
    <w:rsid w:val="009B7F6B"/>
    <w:rsid w:val="009C05D7"/>
    <w:rsid w:val="009C2DFF"/>
    <w:rsid w:val="009C56A7"/>
    <w:rsid w:val="009C794A"/>
    <w:rsid w:val="009D088A"/>
    <w:rsid w:val="009D1842"/>
    <w:rsid w:val="009D530A"/>
    <w:rsid w:val="009E6369"/>
    <w:rsid w:val="009F0AE3"/>
    <w:rsid w:val="009F5987"/>
    <w:rsid w:val="009F703F"/>
    <w:rsid w:val="00A06FBB"/>
    <w:rsid w:val="00A23FC9"/>
    <w:rsid w:val="00A24DE5"/>
    <w:rsid w:val="00A265D3"/>
    <w:rsid w:val="00A30656"/>
    <w:rsid w:val="00A33F81"/>
    <w:rsid w:val="00A4080D"/>
    <w:rsid w:val="00A40897"/>
    <w:rsid w:val="00A44122"/>
    <w:rsid w:val="00A5051B"/>
    <w:rsid w:val="00A51222"/>
    <w:rsid w:val="00A579B7"/>
    <w:rsid w:val="00A60A5E"/>
    <w:rsid w:val="00A65666"/>
    <w:rsid w:val="00A67BA9"/>
    <w:rsid w:val="00A71285"/>
    <w:rsid w:val="00A71569"/>
    <w:rsid w:val="00A75D1A"/>
    <w:rsid w:val="00A76656"/>
    <w:rsid w:val="00A77BC6"/>
    <w:rsid w:val="00A81F81"/>
    <w:rsid w:val="00A94CA0"/>
    <w:rsid w:val="00AA2D9E"/>
    <w:rsid w:val="00AA3CCB"/>
    <w:rsid w:val="00AA4732"/>
    <w:rsid w:val="00AB1C37"/>
    <w:rsid w:val="00AB7C02"/>
    <w:rsid w:val="00AC0A5C"/>
    <w:rsid w:val="00AC7489"/>
    <w:rsid w:val="00AE22F1"/>
    <w:rsid w:val="00AE5F13"/>
    <w:rsid w:val="00AE7798"/>
    <w:rsid w:val="00AF5F63"/>
    <w:rsid w:val="00AF724D"/>
    <w:rsid w:val="00B011E9"/>
    <w:rsid w:val="00B027C3"/>
    <w:rsid w:val="00B0435E"/>
    <w:rsid w:val="00B05480"/>
    <w:rsid w:val="00B05F4F"/>
    <w:rsid w:val="00B0773C"/>
    <w:rsid w:val="00B12D72"/>
    <w:rsid w:val="00B13443"/>
    <w:rsid w:val="00B22286"/>
    <w:rsid w:val="00B227B0"/>
    <w:rsid w:val="00B23E99"/>
    <w:rsid w:val="00B25BAF"/>
    <w:rsid w:val="00B3581E"/>
    <w:rsid w:val="00B36F85"/>
    <w:rsid w:val="00B4087E"/>
    <w:rsid w:val="00B4251B"/>
    <w:rsid w:val="00B5218E"/>
    <w:rsid w:val="00B63324"/>
    <w:rsid w:val="00B7470A"/>
    <w:rsid w:val="00B75430"/>
    <w:rsid w:val="00B853E6"/>
    <w:rsid w:val="00B90CA9"/>
    <w:rsid w:val="00B92450"/>
    <w:rsid w:val="00B95D82"/>
    <w:rsid w:val="00BA09B7"/>
    <w:rsid w:val="00BB13AF"/>
    <w:rsid w:val="00BB25E2"/>
    <w:rsid w:val="00BB2C01"/>
    <w:rsid w:val="00BC0CDE"/>
    <w:rsid w:val="00BC4A0D"/>
    <w:rsid w:val="00BC67A1"/>
    <w:rsid w:val="00BC6AAC"/>
    <w:rsid w:val="00BC7AF8"/>
    <w:rsid w:val="00BC7EC0"/>
    <w:rsid w:val="00BD1E9F"/>
    <w:rsid w:val="00BD4735"/>
    <w:rsid w:val="00BD5910"/>
    <w:rsid w:val="00BE05FE"/>
    <w:rsid w:val="00BE4488"/>
    <w:rsid w:val="00BF352C"/>
    <w:rsid w:val="00C01507"/>
    <w:rsid w:val="00C069FB"/>
    <w:rsid w:val="00C121E9"/>
    <w:rsid w:val="00C15603"/>
    <w:rsid w:val="00C16046"/>
    <w:rsid w:val="00C16344"/>
    <w:rsid w:val="00C168CB"/>
    <w:rsid w:val="00C20CBF"/>
    <w:rsid w:val="00C217D9"/>
    <w:rsid w:val="00C221F0"/>
    <w:rsid w:val="00C25CFA"/>
    <w:rsid w:val="00C33FC0"/>
    <w:rsid w:val="00C4416D"/>
    <w:rsid w:val="00C44AA7"/>
    <w:rsid w:val="00C44CC8"/>
    <w:rsid w:val="00C5463A"/>
    <w:rsid w:val="00C63BD0"/>
    <w:rsid w:val="00C63E58"/>
    <w:rsid w:val="00C64472"/>
    <w:rsid w:val="00C714FE"/>
    <w:rsid w:val="00C71DA0"/>
    <w:rsid w:val="00C73D40"/>
    <w:rsid w:val="00C839B2"/>
    <w:rsid w:val="00C84D2F"/>
    <w:rsid w:val="00C87FC4"/>
    <w:rsid w:val="00C91374"/>
    <w:rsid w:val="00C930E0"/>
    <w:rsid w:val="00C93702"/>
    <w:rsid w:val="00C94B7D"/>
    <w:rsid w:val="00CB4B99"/>
    <w:rsid w:val="00CB5ED4"/>
    <w:rsid w:val="00CB65E6"/>
    <w:rsid w:val="00CB6C0D"/>
    <w:rsid w:val="00CC0AF5"/>
    <w:rsid w:val="00CC26A1"/>
    <w:rsid w:val="00CD0FE2"/>
    <w:rsid w:val="00CD5FDA"/>
    <w:rsid w:val="00CE12AF"/>
    <w:rsid w:val="00CE441E"/>
    <w:rsid w:val="00CE58B7"/>
    <w:rsid w:val="00CE5CF0"/>
    <w:rsid w:val="00CE7EE0"/>
    <w:rsid w:val="00CF584E"/>
    <w:rsid w:val="00D02E8B"/>
    <w:rsid w:val="00D04EA6"/>
    <w:rsid w:val="00D10EDE"/>
    <w:rsid w:val="00D11EDF"/>
    <w:rsid w:val="00D1669B"/>
    <w:rsid w:val="00D21840"/>
    <w:rsid w:val="00D219F2"/>
    <w:rsid w:val="00D30276"/>
    <w:rsid w:val="00D318B0"/>
    <w:rsid w:val="00D32F3D"/>
    <w:rsid w:val="00D41D3D"/>
    <w:rsid w:val="00D42D5E"/>
    <w:rsid w:val="00D4580A"/>
    <w:rsid w:val="00D473CC"/>
    <w:rsid w:val="00D5353C"/>
    <w:rsid w:val="00D60440"/>
    <w:rsid w:val="00D604CC"/>
    <w:rsid w:val="00D61C12"/>
    <w:rsid w:val="00D65911"/>
    <w:rsid w:val="00D71E41"/>
    <w:rsid w:val="00D74CDD"/>
    <w:rsid w:val="00D76EA0"/>
    <w:rsid w:val="00D77396"/>
    <w:rsid w:val="00D77BCB"/>
    <w:rsid w:val="00D81C4C"/>
    <w:rsid w:val="00D90A57"/>
    <w:rsid w:val="00D90F0E"/>
    <w:rsid w:val="00D95E37"/>
    <w:rsid w:val="00D9647A"/>
    <w:rsid w:val="00DB507A"/>
    <w:rsid w:val="00DC2D2B"/>
    <w:rsid w:val="00DD4EA2"/>
    <w:rsid w:val="00DD5848"/>
    <w:rsid w:val="00DD75C7"/>
    <w:rsid w:val="00DE2A62"/>
    <w:rsid w:val="00DF31B0"/>
    <w:rsid w:val="00E00208"/>
    <w:rsid w:val="00E02021"/>
    <w:rsid w:val="00E06486"/>
    <w:rsid w:val="00E07CFD"/>
    <w:rsid w:val="00E07D15"/>
    <w:rsid w:val="00E11910"/>
    <w:rsid w:val="00E17896"/>
    <w:rsid w:val="00E25B65"/>
    <w:rsid w:val="00E31191"/>
    <w:rsid w:val="00E4270A"/>
    <w:rsid w:val="00E4294D"/>
    <w:rsid w:val="00E5140A"/>
    <w:rsid w:val="00E52458"/>
    <w:rsid w:val="00E54CBB"/>
    <w:rsid w:val="00E5770B"/>
    <w:rsid w:val="00E61C20"/>
    <w:rsid w:val="00E63DF0"/>
    <w:rsid w:val="00E67793"/>
    <w:rsid w:val="00E67CF0"/>
    <w:rsid w:val="00E77E70"/>
    <w:rsid w:val="00E80018"/>
    <w:rsid w:val="00E8247D"/>
    <w:rsid w:val="00E96C9B"/>
    <w:rsid w:val="00EA2C6A"/>
    <w:rsid w:val="00EA441A"/>
    <w:rsid w:val="00EA6869"/>
    <w:rsid w:val="00EA6A57"/>
    <w:rsid w:val="00EB081A"/>
    <w:rsid w:val="00EB130C"/>
    <w:rsid w:val="00EB1A5E"/>
    <w:rsid w:val="00EB3ACA"/>
    <w:rsid w:val="00EB6C94"/>
    <w:rsid w:val="00EC3DE3"/>
    <w:rsid w:val="00ED039A"/>
    <w:rsid w:val="00ED129B"/>
    <w:rsid w:val="00ED1F2C"/>
    <w:rsid w:val="00EE4460"/>
    <w:rsid w:val="00EE5973"/>
    <w:rsid w:val="00EE6132"/>
    <w:rsid w:val="00EE6BC6"/>
    <w:rsid w:val="00EE7936"/>
    <w:rsid w:val="00F01F04"/>
    <w:rsid w:val="00F05371"/>
    <w:rsid w:val="00F06A94"/>
    <w:rsid w:val="00F34AE6"/>
    <w:rsid w:val="00F42473"/>
    <w:rsid w:val="00F451EB"/>
    <w:rsid w:val="00F4704F"/>
    <w:rsid w:val="00F51412"/>
    <w:rsid w:val="00F514F7"/>
    <w:rsid w:val="00F51F9E"/>
    <w:rsid w:val="00F523CA"/>
    <w:rsid w:val="00F543CD"/>
    <w:rsid w:val="00F6668A"/>
    <w:rsid w:val="00F67CC4"/>
    <w:rsid w:val="00F70171"/>
    <w:rsid w:val="00F71625"/>
    <w:rsid w:val="00F73F60"/>
    <w:rsid w:val="00F74396"/>
    <w:rsid w:val="00F77B7D"/>
    <w:rsid w:val="00F80347"/>
    <w:rsid w:val="00F8126A"/>
    <w:rsid w:val="00F8376B"/>
    <w:rsid w:val="00F964A5"/>
    <w:rsid w:val="00FA5D83"/>
    <w:rsid w:val="00FB0258"/>
    <w:rsid w:val="00FB6E8E"/>
    <w:rsid w:val="00FC3E3A"/>
    <w:rsid w:val="00FC5F56"/>
    <w:rsid w:val="00FC6874"/>
    <w:rsid w:val="00FD009A"/>
    <w:rsid w:val="00FD1B64"/>
    <w:rsid w:val="00FD22F5"/>
    <w:rsid w:val="00FD352E"/>
    <w:rsid w:val="00FD6419"/>
    <w:rsid w:val="00FE42CF"/>
    <w:rsid w:val="00FE4325"/>
    <w:rsid w:val="00FE578F"/>
    <w:rsid w:val="00FE734C"/>
    <w:rsid w:val="00FE7646"/>
    <w:rsid w:val="00FF235D"/>
    <w:rsid w:val="00FF4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8D35D-819A-4C2B-B40C-36DF7643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8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3707"/>
    <w:rPr>
      <w:rFonts w:ascii="Calibri" w:eastAsia="宋体" w:hAnsi="Calibri" w:cs="Times New Roman"/>
      <w:sz w:val="18"/>
      <w:szCs w:val="18"/>
    </w:rPr>
  </w:style>
  <w:style w:type="paragraph" w:styleId="a5">
    <w:name w:val="footer"/>
    <w:basedOn w:val="a"/>
    <w:link w:val="a6"/>
    <w:uiPriority w:val="99"/>
    <w:unhideWhenUsed/>
    <w:rsid w:val="00013707"/>
    <w:pPr>
      <w:tabs>
        <w:tab w:val="center" w:pos="4153"/>
        <w:tab w:val="right" w:pos="8306"/>
      </w:tabs>
      <w:snapToGrid w:val="0"/>
      <w:jc w:val="left"/>
    </w:pPr>
    <w:rPr>
      <w:sz w:val="18"/>
      <w:szCs w:val="18"/>
    </w:rPr>
  </w:style>
  <w:style w:type="character" w:customStyle="1" w:styleId="a6">
    <w:name w:val="页脚 字符"/>
    <w:basedOn w:val="a0"/>
    <w:link w:val="a5"/>
    <w:uiPriority w:val="99"/>
    <w:rsid w:val="0001370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1411</Words>
  <Characters>8045</Characters>
  <Application>Microsoft Office Word</Application>
  <DocSecurity>0</DocSecurity>
  <Lines>67</Lines>
  <Paragraphs>18</Paragraphs>
  <ScaleCrop>false</ScaleCrop>
  <Company>cdir</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刘铭</dc:creator>
  <cp:lastModifiedBy>lulu</cp:lastModifiedBy>
  <cp:revision>3</cp:revision>
  <dcterms:created xsi:type="dcterms:W3CDTF">2018-05-14T07:55:00Z</dcterms:created>
  <dcterms:modified xsi:type="dcterms:W3CDTF">2018-05-14T07:58:00Z</dcterms:modified>
</cp:coreProperties>
</file>