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3363595" cy="89281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44" cy="8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黑体" w:hAnsi="黑体" w:eastAsia="黑体"/>
          <w:sz w:val="59"/>
        </w:rPr>
      </w:pPr>
    </w:p>
    <w:p/>
    <w:p>
      <w:pPr>
        <w:jc w:val="center"/>
        <w:rPr>
          <w:rFonts w:hint="eastAsia" w:ascii="方正大标宋简体" w:hAnsi="黑体" w:eastAsia="方正大标宋简体"/>
          <w:sz w:val="59"/>
          <w:lang w:val="en-US" w:eastAsia="zh-CN"/>
        </w:rPr>
      </w:pPr>
      <w:r>
        <w:rPr>
          <w:rFonts w:hint="eastAsia" w:ascii="方正大标宋简体" w:hAnsi="黑体" w:eastAsia="方正大标宋简体"/>
          <w:sz w:val="59"/>
        </w:rPr>
        <w:t>商学院20</w:t>
      </w:r>
      <w:r>
        <w:rPr>
          <w:rFonts w:hint="eastAsia" w:ascii="方正大标宋简体" w:hAnsi="黑体" w:eastAsia="方正大标宋简体"/>
          <w:sz w:val="59"/>
          <w:lang w:val="en-US" w:eastAsia="zh-CN"/>
        </w:rPr>
        <w:t>20</w:t>
      </w:r>
      <w:r>
        <w:rPr>
          <w:rFonts w:hint="eastAsia" w:ascii="方正大标宋简体" w:hAnsi="黑体" w:eastAsia="方正大标宋简体"/>
          <w:sz w:val="59"/>
        </w:rPr>
        <w:t>-202</w:t>
      </w:r>
      <w:r>
        <w:rPr>
          <w:rFonts w:hint="eastAsia" w:ascii="方正大标宋简体" w:hAnsi="黑体" w:eastAsia="方正大标宋简体"/>
          <w:sz w:val="59"/>
          <w:lang w:val="en-US" w:eastAsia="zh-CN"/>
        </w:rPr>
        <w:t>1</w:t>
      </w:r>
      <w:r>
        <w:rPr>
          <w:rFonts w:hint="eastAsia" w:ascii="方正大标宋简体" w:hAnsi="黑体" w:eastAsia="方正大标宋简体"/>
          <w:sz w:val="59"/>
        </w:rPr>
        <w:t>-1学期专业硕士课程表</w:t>
      </w:r>
    </w:p>
    <w:p>
      <w:pPr>
        <w:jc w:val="center"/>
        <w:rPr>
          <w:rFonts w:eastAsia="仿宋_GB2312"/>
          <w:sz w:val="38"/>
          <w:szCs w:val="40"/>
        </w:rPr>
      </w:pPr>
    </w:p>
    <w:p>
      <w:pPr>
        <w:jc w:val="center"/>
        <w:rPr>
          <w:rFonts w:eastAsia="仿宋_GB2312"/>
          <w:sz w:val="38"/>
          <w:szCs w:val="40"/>
        </w:rPr>
      </w:pPr>
    </w:p>
    <w:p/>
    <w:p/>
    <w:p>
      <w:pPr>
        <w:jc w:val="center"/>
        <w:rPr>
          <w:rFonts w:eastAsia="黑体"/>
          <w:sz w:val="38"/>
          <w:szCs w:val="40"/>
        </w:rPr>
      </w:pPr>
      <w:r>
        <w:rPr>
          <w:rFonts w:hint="eastAsia" w:eastAsia="黑体"/>
          <w:sz w:val="38"/>
          <w:szCs w:val="40"/>
        </w:rPr>
        <w:t>二○二○年</w:t>
      </w:r>
      <w:r>
        <w:rPr>
          <w:rFonts w:hint="eastAsia" w:eastAsia="黑体"/>
          <w:sz w:val="38"/>
          <w:szCs w:val="40"/>
          <w:lang w:val="en-US" w:eastAsia="zh-CN"/>
        </w:rPr>
        <w:t>七</w:t>
      </w:r>
      <w:r>
        <w:rPr>
          <w:rFonts w:hint="eastAsia" w:eastAsia="黑体"/>
          <w:sz w:val="38"/>
          <w:szCs w:val="40"/>
        </w:rPr>
        <w:t>月</w:t>
      </w:r>
    </w:p>
    <w:p>
      <w:pPr>
        <w:widowControl/>
        <w:jc w:val="left"/>
      </w:pPr>
      <w:r>
        <w:br w:type="page"/>
      </w:r>
    </w:p>
    <w:p>
      <w:pPr>
        <w:widowControl/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9089390" cy="6263640"/>
            <wp:effectExtent l="0" t="0" r="889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939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4440" cy="5220335"/>
            <wp:effectExtent l="0" t="0" r="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default"/>
          <w:lang w:val="en-US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2535" cy="5100320"/>
            <wp:effectExtent l="0" t="0" r="190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黑体" w:hAnsi="黑体" w:eastAsia="黑体" w:cs="宋体"/>
          <w:b/>
          <w:bCs/>
          <w:color w:val="000000"/>
          <w:kern w:val="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1425" cy="3056255"/>
            <wp:effectExtent l="0" t="0" r="825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黑体" w:hAnsi="黑体" w:eastAsia="黑体" w:cs="宋体"/>
          <w:b/>
          <w:bCs/>
          <w:color w:val="000000"/>
          <w:kern w:val="0"/>
          <w:sz w:val="28"/>
          <w:szCs w:val="2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60790" cy="5260340"/>
            <wp:effectExtent l="0" t="0" r="889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0" w:name="_GoBack"/>
      <w:bookmarkEnd w:id="30"/>
    </w:p>
    <w:p>
      <w:pPr>
        <w:widowControl/>
        <w:jc w:val="center"/>
        <w:rPr>
          <w:rFonts w:ascii="黑体" w:hAnsi="黑体" w:eastAsia="黑体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28"/>
          <w:szCs w:val="28"/>
        </w:rPr>
        <w:t>时 间 表</w:t>
      </w:r>
    </w:p>
    <w:p>
      <w:pPr>
        <w:widowControl/>
        <w:jc w:val="center"/>
        <w:rPr>
          <w:rFonts w:ascii="黑体" w:hAnsi="黑体" w:eastAsia="黑体" w:cs="宋体"/>
          <w:b/>
          <w:bCs/>
          <w:color w:val="000000"/>
          <w:kern w:val="0"/>
          <w:sz w:val="28"/>
          <w:szCs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4"/>
        <w:gridCol w:w="2325"/>
        <w:gridCol w:w="2325"/>
        <w:gridCol w:w="2325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节次</w:t>
            </w:r>
          </w:p>
        </w:tc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上午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节次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下午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节次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晚上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08：00-08：45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14：00-14：45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18：30-19：15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08：50-09：35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14：50-15：35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19：20-20：05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09：45-10：30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15：45-16：30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20：15-21：00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10：35-11：20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16：35-17：20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21：05-21：50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4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</w:rPr>
              <w:t>11：25-12：10</w:t>
            </w: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ind w:left="0" w:leftChars="0" w:firstLine="0" w:firstLineChars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商学院2019-2020-1学期 双硕士项目课程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5"/>
        <w:gridCol w:w="2449"/>
        <w:gridCol w:w="1276"/>
        <w:gridCol w:w="1276"/>
        <w:gridCol w:w="1559"/>
        <w:gridCol w:w="1233"/>
        <w:gridCol w:w="752"/>
        <w:gridCol w:w="752"/>
        <w:gridCol w:w="3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2449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课程名称</w:t>
            </w:r>
          </w:p>
        </w:tc>
        <w:tc>
          <w:tcPr>
            <w:tcW w:w="1276" w:type="dxa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课程编号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授课教师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授课时间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授课地点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课时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学分</w:t>
            </w:r>
          </w:p>
        </w:tc>
        <w:tc>
          <w:tcPr>
            <w:tcW w:w="3075" w:type="dxa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俄亥俄项目</w:t>
            </w:r>
          </w:p>
        </w:tc>
        <w:tc>
          <w:tcPr>
            <w:tcW w:w="2449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统计学与计量经济学</w:t>
            </w:r>
            <w:r>
              <w:rPr>
                <w:rStyle w:val="13"/>
                <w:rFonts w:ascii="Times New Roman" w:hAnsi="Times New Roman" w:eastAsia="仿宋" w:cs="Times New Roman"/>
                <w:sz w:val="24"/>
                <w:szCs w:val="24"/>
              </w:rPr>
              <w:t>Statistics and Econometrics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仿宋" w:hAnsi="仿宋" w:eastAsia="仿宋" w:cs="Tahoma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Tahoma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20006422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Tahoma"/>
                <w:color w:val="000000"/>
                <w:sz w:val="24"/>
                <w:szCs w:val="24"/>
                <w:shd w:val="clear" w:color="auto" w:fill="FFFFFF"/>
              </w:rPr>
              <w:t>丛颖男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-1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周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星期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五</w:t>
            </w:r>
          </w:p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第10-13节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科B716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48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项目必选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515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普渡项目</w:t>
            </w:r>
          </w:p>
        </w:tc>
        <w:tc>
          <w:tcPr>
            <w:tcW w:w="2449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统计学与计量经济学</w:t>
            </w:r>
            <w:r>
              <w:rPr>
                <w:rStyle w:val="13"/>
                <w:rFonts w:ascii="Times New Roman" w:hAnsi="Times New Roman" w:eastAsia="仿宋" w:cs="Times New Roman"/>
                <w:sz w:val="24"/>
                <w:szCs w:val="24"/>
              </w:rPr>
              <w:t>Statistics and Econometrics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" w:hAnsi="仿宋" w:eastAsia="仿宋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Tahoma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20006422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仿宋" w:hAnsi="仿宋" w:eastAsia="仿宋" w:cs="Tahoma"/>
                <w:color w:val="000000"/>
                <w:sz w:val="24"/>
                <w:szCs w:val="24"/>
                <w:shd w:val="clear" w:color="auto" w:fill="FFFFFF"/>
              </w:rPr>
              <w:t>丛颖男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-1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周</w:t>
            </w:r>
          </w:p>
          <w:p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星期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五</w:t>
            </w:r>
          </w:p>
          <w:p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第10-13节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科B716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48</w:t>
            </w:r>
          </w:p>
        </w:tc>
        <w:tc>
          <w:tcPr>
            <w:tcW w:w="752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与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运营管理（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Operations Management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）二选一即可满足学分要求</w:t>
            </w:r>
          </w:p>
        </w:tc>
      </w:tr>
    </w:tbl>
    <w:p>
      <w:pPr>
        <w:ind w:left="0" w:leftChars="0" w:firstLine="0" w:firstLineChars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eastAsia" w:ascii="黑体" w:hAnsi="黑体" w:eastAsia="黑体"/>
          <w:sz w:val="59"/>
        </w:rPr>
      </w:pPr>
    </w:p>
    <w:p>
      <w:pPr>
        <w:pStyle w:val="2"/>
        <w:rPr>
          <w:rFonts w:hint="eastAsia"/>
        </w:rPr>
      </w:pPr>
      <w:bookmarkStart w:id="0" w:name="_Toc46067035"/>
      <w:r>
        <w:rPr>
          <w:rFonts w:hint="eastAsia"/>
        </w:rPr>
        <w:t>目  录</w:t>
      </w:r>
      <w:bookmarkEnd w:id="0"/>
    </w:p>
    <w:p>
      <w:pPr>
        <w:spacing w:line="300" w:lineRule="auto"/>
        <w:rPr>
          <w:rFonts w:asciiTheme="minorHAnsi" w:hAnsiTheme="minorHAnsi" w:eastAsiaTheme="minorEastAsia" w:cstheme="minorBidi"/>
          <w:b/>
          <w:sz w:val="24"/>
        </w:rPr>
      </w:pPr>
      <w:r>
        <w:rPr>
          <w:rFonts w:hint="eastAsia"/>
          <w:b/>
          <w:sz w:val="24"/>
        </w:rPr>
        <w:t>课程表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</w:instrText>
      </w:r>
      <w:r>
        <w:rPr>
          <w:rFonts w:hint="eastAsia"/>
          <w:b/>
          <w:sz w:val="24"/>
        </w:rPr>
        <w:instrText xml:space="preserve">TOC \o "1-3" \h \z \u</w:instrText>
      </w:r>
      <w:r>
        <w:rPr>
          <w:b/>
          <w:sz w:val="24"/>
        </w:rPr>
        <w:instrText xml:space="preserve"> </w:instrText>
      </w:r>
      <w:r>
        <w:rPr>
          <w:b/>
          <w:sz w:val="24"/>
        </w:rPr>
        <w:fldChar w:fldCharType="separate"/>
      </w:r>
    </w:p>
    <w:p>
      <w:pPr>
        <w:pStyle w:val="6"/>
        <w:numPr>
          <w:ilvl w:val="0"/>
          <w:numId w:val="1"/>
        </w:numPr>
        <w:tabs>
          <w:tab w:val="left" w:pos="426"/>
          <w:tab w:val="right" w:leader="dot" w:pos="8296"/>
        </w:tabs>
        <w:spacing w:line="300" w:lineRule="auto"/>
        <w:rPr>
          <w:rStyle w:val="12"/>
          <w:sz w:val="24"/>
        </w:rPr>
      </w:pPr>
      <w:r>
        <w:fldChar w:fldCharType="begin"/>
      </w:r>
      <w:r>
        <w:instrText xml:space="preserve"> HYPERLINK \l "_Toc46067036" </w:instrText>
      </w:r>
      <w:r>
        <w:fldChar w:fldCharType="separate"/>
      </w:r>
      <w:r>
        <w:rPr>
          <w:rStyle w:val="12"/>
          <w:rFonts w:hint="eastAsia"/>
          <w:sz w:val="24"/>
        </w:rPr>
        <w:t>资本金融专业金融方向硕士生</w:t>
      </w:r>
      <w:r>
        <w:rPr>
          <w:rStyle w:val="12"/>
          <w:rFonts w:hint="eastAsia"/>
          <w:sz w:val="24"/>
          <w:lang w:eastAsia="zh-CN"/>
        </w:rPr>
        <w:t>（</w:t>
      </w:r>
      <w:r>
        <w:rPr>
          <w:rStyle w:val="12"/>
          <w:rFonts w:hint="eastAsia"/>
          <w:sz w:val="24"/>
          <w:lang w:val="en-US" w:eastAsia="zh-CN"/>
        </w:rPr>
        <w:t>2019级</w:t>
      </w:r>
      <w:r>
        <w:rPr>
          <w:rStyle w:val="12"/>
          <w:rFonts w:hint="eastAsia"/>
          <w:sz w:val="24"/>
          <w:lang w:eastAsia="zh-CN"/>
        </w:rPr>
        <w:t>）</w:t>
      </w:r>
      <w:r>
        <w:rPr>
          <w:rStyle w:val="12"/>
          <w:sz w:val="24"/>
        </w:rPr>
        <w:tab/>
      </w:r>
      <w:r>
        <w:rPr>
          <w:rStyle w:val="12"/>
          <w:sz w:val="24"/>
        </w:rPr>
        <w:fldChar w:fldCharType="begin"/>
      </w:r>
      <w:r>
        <w:rPr>
          <w:rStyle w:val="12"/>
          <w:sz w:val="24"/>
        </w:rPr>
        <w:instrText xml:space="preserve"> PAGEREF _Toc46067036 \h </w:instrText>
      </w:r>
      <w:r>
        <w:rPr>
          <w:rStyle w:val="12"/>
          <w:sz w:val="24"/>
        </w:rPr>
        <w:fldChar w:fldCharType="separate"/>
      </w:r>
      <w:r>
        <w:rPr>
          <w:rStyle w:val="12"/>
          <w:sz w:val="24"/>
        </w:rPr>
        <w:t>1</w:t>
      </w:r>
      <w:r>
        <w:rPr>
          <w:rStyle w:val="12"/>
          <w:sz w:val="24"/>
        </w:rPr>
        <w:fldChar w:fldCharType="end"/>
      </w:r>
      <w:r>
        <w:rPr>
          <w:rStyle w:val="12"/>
          <w:sz w:val="24"/>
        </w:rPr>
        <w:fldChar w:fldCharType="end"/>
      </w:r>
    </w:p>
    <w:p>
      <w:pPr>
        <w:pStyle w:val="6"/>
        <w:numPr>
          <w:ilvl w:val="0"/>
          <w:numId w:val="1"/>
        </w:numPr>
        <w:tabs>
          <w:tab w:val="left" w:pos="426"/>
          <w:tab w:val="right" w:leader="dot" w:pos="8296"/>
        </w:tabs>
        <w:spacing w:line="300" w:lineRule="auto"/>
        <w:rPr>
          <w:rStyle w:val="12"/>
          <w:sz w:val="24"/>
        </w:rPr>
      </w:pPr>
      <w:r>
        <w:fldChar w:fldCharType="begin"/>
      </w:r>
      <w:r>
        <w:instrText xml:space="preserve"> HYPERLINK \l "_Toc46067037" </w:instrText>
      </w:r>
      <w:r>
        <w:fldChar w:fldCharType="separate"/>
      </w:r>
      <w:r>
        <w:rPr>
          <w:rStyle w:val="12"/>
          <w:rFonts w:hint="eastAsia"/>
          <w:sz w:val="24"/>
        </w:rPr>
        <w:t>资本金融专业金融方向硕士生</w:t>
      </w:r>
      <w:r>
        <w:rPr>
          <w:rStyle w:val="12"/>
          <w:rFonts w:hint="eastAsia"/>
          <w:sz w:val="24"/>
          <w:lang w:eastAsia="zh-CN"/>
        </w:rPr>
        <w:t>（</w:t>
      </w:r>
      <w:r>
        <w:rPr>
          <w:rStyle w:val="12"/>
          <w:rFonts w:hint="eastAsia"/>
          <w:sz w:val="24"/>
          <w:lang w:val="en-US" w:eastAsia="zh-CN"/>
        </w:rPr>
        <w:t>2020级</w:t>
      </w:r>
      <w:r>
        <w:rPr>
          <w:rStyle w:val="12"/>
          <w:rFonts w:hint="eastAsia"/>
          <w:sz w:val="24"/>
          <w:lang w:eastAsia="zh-CN"/>
        </w:rPr>
        <w:t>）</w:t>
      </w:r>
      <w:r>
        <w:rPr>
          <w:rStyle w:val="12"/>
          <w:sz w:val="24"/>
        </w:rPr>
        <w:tab/>
      </w:r>
      <w:r>
        <w:rPr>
          <w:rStyle w:val="12"/>
          <w:sz w:val="24"/>
        </w:rPr>
        <w:fldChar w:fldCharType="begin"/>
      </w:r>
      <w:r>
        <w:rPr>
          <w:rStyle w:val="12"/>
          <w:sz w:val="24"/>
        </w:rPr>
        <w:instrText xml:space="preserve"> PAGEREF _Toc46067037 \h </w:instrText>
      </w:r>
      <w:r>
        <w:rPr>
          <w:rStyle w:val="12"/>
          <w:sz w:val="24"/>
        </w:rPr>
        <w:fldChar w:fldCharType="separate"/>
      </w:r>
      <w:r>
        <w:rPr>
          <w:rStyle w:val="12"/>
          <w:sz w:val="24"/>
        </w:rPr>
        <w:t>2</w:t>
      </w:r>
      <w:r>
        <w:rPr>
          <w:rStyle w:val="12"/>
          <w:sz w:val="24"/>
        </w:rPr>
        <w:fldChar w:fldCharType="end"/>
      </w:r>
      <w:r>
        <w:rPr>
          <w:rStyle w:val="12"/>
          <w:sz w:val="24"/>
        </w:rPr>
        <w:fldChar w:fldCharType="end"/>
      </w:r>
    </w:p>
    <w:p>
      <w:pPr>
        <w:pStyle w:val="6"/>
        <w:numPr>
          <w:ilvl w:val="0"/>
          <w:numId w:val="1"/>
        </w:numPr>
        <w:tabs>
          <w:tab w:val="left" w:pos="426"/>
          <w:tab w:val="right" w:leader="dot" w:pos="8296"/>
        </w:tabs>
        <w:spacing w:line="300" w:lineRule="auto"/>
        <w:rPr>
          <w:rStyle w:val="12"/>
          <w:sz w:val="24"/>
        </w:rPr>
      </w:pPr>
      <w:r>
        <w:fldChar w:fldCharType="begin"/>
      </w:r>
      <w:r>
        <w:instrText xml:space="preserve"> HYPERLINK \l "_Toc46067038" </w:instrText>
      </w:r>
      <w:r>
        <w:fldChar w:fldCharType="separate"/>
      </w:r>
      <w:r>
        <w:rPr>
          <w:rStyle w:val="12"/>
          <w:rFonts w:hint="eastAsia"/>
          <w:sz w:val="24"/>
        </w:rPr>
        <w:t>国际商务专业国际商务方向硕士生</w:t>
      </w:r>
      <w:r>
        <w:rPr>
          <w:rStyle w:val="12"/>
          <w:rFonts w:hint="eastAsia"/>
          <w:sz w:val="24"/>
          <w:lang w:eastAsia="zh-CN"/>
        </w:rPr>
        <w:t>（</w:t>
      </w:r>
      <w:r>
        <w:rPr>
          <w:rStyle w:val="12"/>
          <w:rFonts w:hint="eastAsia"/>
          <w:sz w:val="24"/>
          <w:lang w:val="en-US" w:eastAsia="zh-CN"/>
        </w:rPr>
        <w:t>2019级</w:t>
      </w:r>
      <w:r>
        <w:rPr>
          <w:rStyle w:val="12"/>
          <w:rFonts w:hint="eastAsia"/>
          <w:sz w:val="24"/>
          <w:lang w:eastAsia="zh-CN"/>
        </w:rPr>
        <w:t>）</w:t>
      </w:r>
      <w:r>
        <w:rPr>
          <w:rStyle w:val="12"/>
          <w:sz w:val="24"/>
        </w:rPr>
        <w:tab/>
      </w:r>
      <w:r>
        <w:rPr>
          <w:rStyle w:val="12"/>
          <w:sz w:val="24"/>
        </w:rPr>
        <w:fldChar w:fldCharType="begin"/>
      </w:r>
      <w:r>
        <w:rPr>
          <w:rStyle w:val="12"/>
          <w:sz w:val="24"/>
        </w:rPr>
        <w:instrText xml:space="preserve"> PAGEREF _Toc46067038 \h </w:instrText>
      </w:r>
      <w:r>
        <w:rPr>
          <w:rStyle w:val="12"/>
          <w:sz w:val="24"/>
        </w:rPr>
        <w:fldChar w:fldCharType="separate"/>
      </w:r>
      <w:r>
        <w:rPr>
          <w:rStyle w:val="12"/>
          <w:sz w:val="24"/>
        </w:rPr>
        <w:t>3</w:t>
      </w:r>
      <w:r>
        <w:rPr>
          <w:rStyle w:val="12"/>
          <w:sz w:val="24"/>
        </w:rPr>
        <w:fldChar w:fldCharType="end"/>
      </w:r>
      <w:r>
        <w:rPr>
          <w:rStyle w:val="12"/>
          <w:sz w:val="24"/>
        </w:rPr>
        <w:fldChar w:fldCharType="end"/>
      </w:r>
    </w:p>
    <w:p>
      <w:pPr>
        <w:pStyle w:val="6"/>
        <w:numPr>
          <w:ilvl w:val="0"/>
          <w:numId w:val="1"/>
        </w:numPr>
        <w:tabs>
          <w:tab w:val="left" w:pos="426"/>
          <w:tab w:val="right" w:leader="dot" w:pos="8296"/>
        </w:tabs>
        <w:spacing w:line="300" w:lineRule="auto"/>
        <w:rPr>
          <w:rStyle w:val="12"/>
          <w:sz w:val="24"/>
        </w:rPr>
      </w:pPr>
      <w:r>
        <w:fldChar w:fldCharType="begin"/>
      </w:r>
      <w:r>
        <w:instrText xml:space="preserve"> HYPERLINK \l "_Toc46067039" </w:instrText>
      </w:r>
      <w:r>
        <w:fldChar w:fldCharType="separate"/>
      </w:r>
      <w:r>
        <w:rPr>
          <w:rStyle w:val="12"/>
          <w:rFonts w:hint="eastAsia"/>
          <w:sz w:val="24"/>
        </w:rPr>
        <w:t>国际商务专业国际商务方向硕士生</w:t>
      </w:r>
      <w:r>
        <w:rPr>
          <w:rStyle w:val="12"/>
          <w:rFonts w:hint="eastAsia"/>
          <w:sz w:val="24"/>
          <w:lang w:eastAsia="zh-CN"/>
        </w:rPr>
        <w:t>（</w:t>
      </w:r>
      <w:r>
        <w:rPr>
          <w:rStyle w:val="12"/>
          <w:rFonts w:hint="eastAsia"/>
          <w:sz w:val="24"/>
          <w:lang w:val="en-US" w:eastAsia="zh-CN"/>
        </w:rPr>
        <w:t>2020级</w:t>
      </w:r>
      <w:r>
        <w:rPr>
          <w:rStyle w:val="12"/>
          <w:rFonts w:hint="eastAsia"/>
          <w:sz w:val="24"/>
          <w:lang w:eastAsia="zh-CN"/>
        </w:rPr>
        <w:t>）</w:t>
      </w:r>
      <w:r>
        <w:rPr>
          <w:rStyle w:val="12"/>
          <w:sz w:val="24"/>
        </w:rPr>
        <w:tab/>
      </w:r>
      <w:r>
        <w:rPr>
          <w:rStyle w:val="12"/>
          <w:sz w:val="24"/>
        </w:rPr>
        <w:fldChar w:fldCharType="begin"/>
      </w:r>
      <w:r>
        <w:rPr>
          <w:rStyle w:val="12"/>
          <w:sz w:val="24"/>
        </w:rPr>
        <w:instrText xml:space="preserve"> PAGEREF _Toc46067039 \h </w:instrText>
      </w:r>
      <w:r>
        <w:rPr>
          <w:rStyle w:val="12"/>
          <w:sz w:val="24"/>
        </w:rPr>
        <w:fldChar w:fldCharType="separate"/>
      </w:r>
      <w:r>
        <w:rPr>
          <w:rStyle w:val="12"/>
          <w:sz w:val="24"/>
        </w:rPr>
        <w:t>4</w:t>
      </w:r>
      <w:r>
        <w:rPr>
          <w:rStyle w:val="12"/>
          <w:sz w:val="24"/>
        </w:rPr>
        <w:fldChar w:fldCharType="end"/>
      </w:r>
      <w:r>
        <w:rPr>
          <w:rStyle w:val="12"/>
          <w:sz w:val="24"/>
        </w:rPr>
        <w:fldChar w:fldCharType="end"/>
      </w:r>
    </w:p>
    <w:p>
      <w:pPr>
        <w:pStyle w:val="6"/>
        <w:tabs>
          <w:tab w:val="right" w:leader="dot" w:pos="8296"/>
        </w:tabs>
        <w:spacing w:line="300" w:lineRule="auto"/>
        <w:rPr>
          <w:rStyle w:val="12"/>
          <w:rFonts w:hint="eastAsia"/>
          <w:sz w:val="24"/>
        </w:rPr>
      </w:pPr>
    </w:p>
    <w:p>
      <w:pPr>
        <w:spacing w:line="300" w:lineRule="auto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课程进度表</w:t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"_Toc46067040" </w:instrText>
      </w:r>
      <w:r>
        <w:fldChar w:fldCharType="separate"/>
      </w:r>
      <w:r>
        <w:rPr>
          <w:rStyle w:val="12"/>
          <w:rFonts w:hint="eastAsia"/>
          <w:sz w:val="24"/>
        </w:rPr>
        <w:t>《中外金融史专题》课程进度表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_Toc46067040 \h </w:instrText>
      </w:r>
      <w:r>
        <w:rPr>
          <w:sz w:val="24"/>
        </w:rPr>
        <w:fldChar w:fldCharType="separate"/>
      </w:r>
      <w:r>
        <w:rPr>
          <w:sz w:val="24"/>
        </w:rPr>
        <w:t>5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"_Toc46067041" </w:instrText>
      </w:r>
      <w:r>
        <w:fldChar w:fldCharType="separate"/>
      </w:r>
      <w:r>
        <w:rPr>
          <w:rStyle w:val="12"/>
          <w:rFonts w:hint="eastAsia" w:ascii="宋体" w:hAnsi="宋体"/>
          <w:sz w:val="24"/>
        </w:rPr>
        <w:t>《</w:t>
      </w:r>
      <w:r>
        <w:rPr>
          <w:rStyle w:val="12"/>
          <w:rFonts w:hint="eastAsia"/>
          <w:sz w:val="24"/>
        </w:rPr>
        <w:t>金融监管及案例</w:t>
      </w:r>
      <w:r>
        <w:rPr>
          <w:rStyle w:val="12"/>
          <w:rFonts w:hint="eastAsia" w:ascii="宋体" w:hAnsi="宋体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_Toc46067041 \h </w:instrText>
      </w:r>
      <w:r>
        <w:rPr>
          <w:sz w:val="24"/>
        </w:rPr>
        <w:fldChar w:fldCharType="separate"/>
      </w:r>
      <w:r>
        <w:rPr>
          <w:sz w:val="24"/>
        </w:rPr>
        <w:t>6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"_Toc46067042" </w:instrText>
      </w:r>
      <w:r>
        <w:fldChar w:fldCharType="separate"/>
      </w:r>
      <w:r>
        <w:rPr>
          <w:rStyle w:val="12"/>
          <w:rFonts w:hint="eastAsia"/>
          <w:sz w:val="24"/>
        </w:rPr>
        <w:t>《公司估值》课程进度表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_Toc46067042 \h </w:instrText>
      </w:r>
      <w:r>
        <w:rPr>
          <w:sz w:val="24"/>
        </w:rPr>
        <w:fldChar w:fldCharType="separate"/>
      </w:r>
      <w:r>
        <w:rPr>
          <w:sz w:val="24"/>
        </w:rPr>
        <w:t>7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"_Toc46067043" </w:instrText>
      </w:r>
      <w:r>
        <w:fldChar w:fldCharType="separate"/>
      </w:r>
      <w:r>
        <w:rPr>
          <w:rStyle w:val="12"/>
          <w:rFonts w:hint="eastAsia"/>
          <w:sz w:val="24"/>
        </w:rPr>
        <w:t>《财富管理案例》课程进度表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_Toc46067043 \h </w:instrText>
      </w:r>
      <w:r>
        <w:rPr>
          <w:sz w:val="24"/>
        </w:rPr>
        <w:fldChar w:fldCharType="separate"/>
      </w:r>
      <w:r>
        <w:rPr>
          <w:sz w:val="24"/>
        </w:rPr>
        <w:t>8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"_Toc46067044" </w:instrText>
      </w:r>
      <w:r>
        <w:fldChar w:fldCharType="separate"/>
      </w:r>
      <w:r>
        <w:rPr>
          <w:rStyle w:val="12"/>
          <w:rFonts w:hint="eastAsia"/>
          <w:sz w:val="24"/>
        </w:rPr>
        <w:t>《公司金融》课程进度表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_Toc46067044 \h </w:instrText>
      </w:r>
      <w:r>
        <w:rPr>
          <w:sz w:val="24"/>
        </w:rPr>
        <w:fldChar w:fldCharType="separate"/>
      </w:r>
      <w:r>
        <w:rPr>
          <w:sz w:val="24"/>
        </w:rPr>
        <w:t>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"_Toc46067045" </w:instrText>
      </w:r>
      <w:r>
        <w:fldChar w:fldCharType="separate"/>
      </w:r>
      <w:r>
        <w:rPr>
          <w:rStyle w:val="12"/>
          <w:rFonts w:hint="eastAsia" w:ascii="宋体" w:hAnsi="宋体"/>
          <w:sz w:val="24"/>
        </w:rPr>
        <w:t>《</w:t>
      </w:r>
      <w:r>
        <w:rPr>
          <w:rStyle w:val="12"/>
          <w:rFonts w:hint="eastAsia"/>
          <w:sz w:val="24"/>
        </w:rPr>
        <w:t>养老金融及案例</w:t>
      </w:r>
      <w:r>
        <w:rPr>
          <w:rStyle w:val="12"/>
          <w:rFonts w:hint="eastAsia" w:ascii="宋体" w:hAnsi="宋体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_Toc46067045 \h </w:instrText>
      </w:r>
      <w:r>
        <w:rPr>
          <w:sz w:val="24"/>
        </w:rPr>
        <w:fldChar w:fldCharType="separate"/>
      </w:r>
      <w:r>
        <w:rPr>
          <w:sz w:val="24"/>
        </w:rPr>
        <w:t>10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"_Toc46067046"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楷体_GB2312"/>
          <w:sz w:val="24"/>
        </w:rPr>
        <w:t>金融计算软件与程序设计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_Toc46067046 \h </w:instrText>
      </w:r>
      <w:r>
        <w:rPr>
          <w:sz w:val="24"/>
        </w:rPr>
        <w:fldChar w:fldCharType="separate"/>
      </w:r>
      <w:r>
        <w:rPr>
          <w:sz w:val="24"/>
        </w:rPr>
        <w:t>11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"_Toc46067047"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Kaiti SC" w:hAnsi="Kaiti SC" w:cs="Kaiti SC"/>
          <w:sz w:val="24"/>
        </w:rPr>
        <w:t>证券投资学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_Toc46067047 \h </w:instrText>
      </w:r>
      <w:r>
        <w:rPr>
          <w:sz w:val="24"/>
        </w:rPr>
        <w:fldChar w:fldCharType="separate"/>
      </w:r>
      <w:r>
        <w:rPr>
          <w:sz w:val="24"/>
        </w:rPr>
        <w:t>12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"_Toc46067048" </w:instrText>
      </w:r>
      <w:r>
        <w:fldChar w:fldCharType="separate"/>
      </w:r>
      <w:r>
        <w:rPr>
          <w:rStyle w:val="12"/>
          <w:rFonts w:hint="eastAsia"/>
          <w:sz w:val="24"/>
        </w:rPr>
        <w:t>《金融学》课程进度表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_Toc46067048 \h </w:instrText>
      </w:r>
      <w:r>
        <w:rPr>
          <w:sz w:val="24"/>
        </w:rPr>
        <w:fldChar w:fldCharType="separate"/>
      </w:r>
      <w:r>
        <w:rPr>
          <w:sz w:val="24"/>
        </w:rPr>
        <w:t>13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"_Toc46067049" </w:instrText>
      </w:r>
      <w:r>
        <w:fldChar w:fldCharType="separate"/>
      </w:r>
      <w:r>
        <w:rPr>
          <w:rStyle w:val="12"/>
          <w:rFonts w:hint="eastAsia"/>
          <w:sz w:val="24"/>
        </w:rPr>
        <w:t>《统计与计量经济学（英文）》课程进度表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_Toc46067049 \h </w:instrText>
      </w:r>
      <w:r>
        <w:rPr>
          <w:sz w:val="24"/>
        </w:rPr>
        <w:fldChar w:fldCharType="separate"/>
      </w:r>
      <w:r>
        <w:rPr>
          <w:sz w:val="24"/>
        </w:rPr>
        <w:t>14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"_Toc46067050"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Kaiti SC Regular" w:hAnsi="Kaiti SC Regular" w:cs="Kaiti SC Regular"/>
          <w:sz w:val="24"/>
        </w:rPr>
        <w:t>投资分析与决策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_Toc46067050 \h </w:instrText>
      </w:r>
      <w:r>
        <w:rPr>
          <w:sz w:val="24"/>
        </w:rPr>
        <w:fldChar w:fldCharType="separate"/>
      </w:r>
      <w:r>
        <w:rPr>
          <w:sz w:val="24"/>
        </w:rPr>
        <w:t>16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"_Toc46067051"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Kaiti SC Regular" w:hAnsi="Kaiti SC Regular" w:cs="Kaiti SC Regular"/>
          <w:sz w:val="24"/>
        </w:rPr>
        <w:t>金融理论与政策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_Toc46067051 \h </w:instrText>
      </w:r>
      <w:r>
        <w:rPr>
          <w:sz w:val="24"/>
        </w:rPr>
        <w:fldChar w:fldCharType="separate"/>
      </w:r>
      <w:r>
        <w:rPr>
          <w:sz w:val="24"/>
        </w:rPr>
        <w:t>17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"_Toc46067052"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Kaiti SC Regular" w:hAnsi="Kaiti SC Regular" w:cs="Kaiti SC Regular"/>
          <w:sz w:val="24"/>
        </w:rPr>
        <w:t>数量分析与金融市场</w:t>
      </w:r>
      <w:r>
        <w:rPr>
          <w:rStyle w:val="12"/>
          <w:sz w:val="24"/>
        </w:rPr>
        <w:t xml:space="preserve"> 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_Toc46067052 \h </w:instrText>
      </w:r>
      <w:r>
        <w:rPr>
          <w:sz w:val="24"/>
        </w:rPr>
        <w:fldChar w:fldCharType="separate"/>
      </w:r>
      <w:r>
        <w:rPr>
          <w:sz w:val="24"/>
        </w:rPr>
        <w:t>18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"_Toc46067053" </w:instrText>
      </w:r>
      <w:r>
        <w:fldChar w:fldCharType="separate"/>
      </w:r>
      <w:r>
        <w:rPr>
          <w:rStyle w:val="12"/>
          <w:rFonts w:hint="eastAsia"/>
          <w:sz w:val="24"/>
        </w:rPr>
        <w:t>《国际贸易政策与实务》课程进度表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_Toc46067053 \h </w:instrText>
      </w:r>
      <w:r>
        <w:rPr>
          <w:sz w:val="24"/>
        </w:rPr>
        <w:fldChar w:fldCharType="separate"/>
      </w:r>
      <w:r>
        <w:rPr>
          <w:sz w:val="24"/>
        </w:rPr>
        <w:t>19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"_Toc46067054" </w:instrText>
      </w:r>
      <w:r>
        <w:fldChar w:fldCharType="separate"/>
      </w:r>
      <w:r>
        <w:rPr>
          <w:rStyle w:val="12"/>
          <w:rFonts w:hint="eastAsia"/>
          <w:sz w:val="24"/>
        </w:rPr>
        <w:t>《经济学分析与应用》课程进度表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_Toc46067054 \h </w:instrText>
      </w:r>
      <w:r>
        <w:rPr>
          <w:sz w:val="24"/>
        </w:rPr>
        <w:fldChar w:fldCharType="separate"/>
      </w:r>
      <w:r>
        <w:rPr>
          <w:sz w:val="24"/>
        </w:rPr>
        <w:t>20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"_Toc46067055" </w:instrText>
      </w:r>
      <w:r>
        <w:fldChar w:fldCharType="separate"/>
      </w:r>
      <w:r>
        <w:rPr>
          <w:rStyle w:val="12"/>
          <w:rFonts w:hint="eastAsia"/>
          <w:sz w:val="24"/>
        </w:rPr>
        <w:t>《跨国并购与重组》课程进度表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_Toc46067055 \h </w:instrText>
      </w:r>
      <w:r>
        <w:rPr>
          <w:sz w:val="24"/>
        </w:rPr>
        <w:fldChar w:fldCharType="separate"/>
      </w:r>
      <w:r>
        <w:rPr>
          <w:sz w:val="24"/>
        </w:rPr>
        <w:t>21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"_Toc46067056" </w:instrText>
      </w:r>
      <w:r>
        <w:fldChar w:fldCharType="separate"/>
      </w:r>
      <w:r>
        <w:rPr>
          <w:rStyle w:val="12"/>
          <w:rFonts w:hint="eastAsia"/>
          <w:sz w:val="24"/>
        </w:rPr>
        <w:t>《国际商务》课程进度表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_Toc46067056 \h </w:instrText>
      </w:r>
      <w:r>
        <w:rPr>
          <w:sz w:val="24"/>
        </w:rPr>
        <w:fldChar w:fldCharType="separate"/>
      </w:r>
      <w:r>
        <w:rPr>
          <w:sz w:val="24"/>
        </w:rPr>
        <w:t>22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"_Toc46067057" </w:instrText>
      </w:r>
      <w:r>
        <w:fldChar w:fldCharType="separate"/>
      </w:r>
      <w:r>
        <w:rPr>
          <w:rStyle w:val="12"/>
          <w:rFonts w:hint="eastAsia"/>
          <w:sz w:val="24"/>
        </w:rPr>
        <w:t>《国际高端品牌营造》课程进度表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_Toc46067057 \h </w:instrText>
      </w:r>
      <w:r>
        <w:rPr>
          <w:sz w:val="24"/>
        </w:rPr>
        <w:fldChar w:fldCharType="separate"/>
      </w:r>
      <w:r>
        <w:rPr>
          <w:sz w:val="24"/>
        </w:rPr>
        <w:t>23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"_Toc46067058" </w:instrText>
      </w:r>
      <w:r>
        <w:fldChar w:fldCharType="separate"/>
      </w:r>
      <w:r>
        <w:rPr>
          <w:rStyle w:val="12"/>
          <w:rFonts w:hint="eastAsia"/>
          <w:sz w:val="24"/>
        </w:rPr>
        <w:t>《国际商务谈判》课程进度表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_Toc46067058 \h </w:instrText>
      </w:r>
      <w:r>
        <w:rPr>
          <w:sz w:val="24"/>
        </w:rPr>
        <w:fldChar w:fldCharType="separate"/>
      </w:r>
      <w:r>
        <w:rPr>
          <w:sz w:val="24"/>
        </w:rPr>
        <w:t>24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"_Toc46067060"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Kaiti SC Regular" w:hAnsi="Kaiti SC Regular" w:cs="Kaiti SC Regular"/>
          <w:sz w:val="24"/>
        </w:rPr>
        <w:t>奢侈品管理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_Toc46067060 \h </w:instrText>
      </w:r>
      <w:r>
        <w:rPr>
          <w:sz w:val="24"/>
        </w:rPr>
        <w:fldChar w:fldCharType="separate"/>
      </w:r>
      <w:r>
        <w:rPr>
          <w:sz w:val="24"/>
        </w:rPr>
        <w:t>26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numPr>
          <w:ilvl w:val="0"/>
          <w:numId w:val="2"/>
        </w:numPr>
        <w:tabs>
          <w:tab w:val="left" w:pos="426"/>
          <w:tab w:val="right" w:leader="dot" w:pos="8296"/>
        </w:tabs>
        <w:spacing w:line="300" w:lineRule="auto"/>
        <w:rPr>
          <w:rFonts w:asciiTheme="minorHAnsi" w:hAnsiTheme="minorHAnsi" w:eastAsiaTheme="minorEastAsia" w:cstheme="minorBidi"/>
          <w:sz w:val="24"/>
        </w:rPr>
      </w:pPr>
      <w:r>
        <w:fldChar w:fldCharType="begin"/>
      </w:r>
      <w:r>
        <w:instrText xml:space="preserve"> HYPERLINK \l "_Toc46067061" </w:instrText>
      </w:r>
      <w:r>
        <w:fldChar w:fldCharType="separate"/>
      </w:r>
      <w:r>
        <w:rPr>
          <w:rStyle w:val="12"/>
          <w:rFonts w:hint="eastAsia"/>
          <w:sz w:val="24"/>
        </w:rPr>
        <w:t>《</w:t>
      </w:r>
      <w:r>
        <w:rPr>
          <w:rStyle w:val="12"/>
          <w:rFonts w:hint="eastAsia" w:ascii="楷体" w:hAnsi="楷体" w:cs="楷体"/>
          <w:sz w:val="24"/>
        </w:rPr>
        <w:t>国际形象管理</w:t>
      </w:r>
      <w:r>
        <w:rPr>
          <w:rStyle w:val="12"/>
          <w:rFonts w:hint="eastAsia"/>
          <w:sz w:val="24"/>
        </w:rPr>
        <w:t>》课程进度表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_Toc46067061 \h </w:instrText>
      </w:r>
      <w:r>
        <w:rPr>
          <w:sz w:val="24"/>
        </w:rPr>
        <w:fldChar w:fldCharType="separate"/>
      </w:r>
      <w:r>
        <w:rPr>
          <w:sz w:val="24"/>
        </w:rPr>
        <w:t>27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spacing w:line="300" w:lineRule="auto"/>
        <w:rPr>
          <w:rFonts w:hint="eastAsia"/>
        </w:rPr>
      </w:pPr>
      <w:r>
        <w:rPr>
          <w:sz w:val="24"/>
        </w:rPr>
        <w:fldChar w:fldCharType="end"/>
      </w:r>
    </w:p>
    <w:p>
      <w:pPr>
        <w:rPr>
          <w:rFonts w:hint="eastAsia"/>
        </w:rPr>
      </w:pPr>
    </w:p>
    <w:p>
      <w:pPr>
        <w:rPr>
          <w:rFonts w:hint="eastAsia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p>
      <w:pPr>
        <w:ind w:firstLine="840" w:firstLineChars="300"/>
        <w:outlineLvl w:val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  <w:u w:val="single"/>
        </w:rPr>
        <w:t xml:space="preserve">     </w:t>
      </w:r>
      <w:bookmarkStart w:id="1" w:name="_Toc46067036"/>
      <w:r>
        <w:rPr>
          <w:rFonts w:eastAsia="黑体"/>
          <w:sz w:val="28"/>
          <w:szCs w:val="28"/>
          <w:u w:val="single"/>
        </w:rPr>
        <w:t xml:space="preserve">资本金融      </w:t>
      </w:r>
      <w:r>
        <w:rPr>
          <w:rFonts w:eastAsia="黑体"/>
          <w:sz w:val="28"/>
          <w:szCs w:val="28"/>
        </w:rPr>
        <w:t>专业</w:t>
      </w:r>
      <w:r>
        <w:rPr>
          <w:rFonts w:eastAsia="黑体"/>
          <w:sz w:val="28"/>
          <w:szCs w:val="28"/>
          <w:u w:val="single"/>
        </w:rPr>
        <w:t xml:space="preserve">    金融    </w:t>
      </w:r>
      <w:r>
        <w:rPr>
          <w:rFonts w:eastAsia="黑体"/>
          <w:sz w:val="28"/>
          <w:szCs w:val="28"/>
        </w:rPr>
        <w:t>方向硕士生</w:t>
      </w:r>
      <w:bookmarkEnd w:id="1"/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2020-2021学年第一学期课程表</w:t>
      </w:r>
    </w:p>
    <w:p>
      <w:pPr>
        <w:jc w:val="center"/>
        <w:rPr>
          <w:rFonts w:eastAsia="华文行楷"/>
          <w:sz w:val="28"/>
          <w:szCs w:val="28"/>
        </w:rPr>
      </w:pPr>
      <w:r>
        <w:rPr>
          <w:rFonts w:eastAsia="黑体"/>
          <w:sz w:val="28"/>
          <w:szCs w:val="28"/>
        </w:rPr>
        <w:t xml:space="preserve">2019级第一学期 </w:t>
      </w:r>
      <w:r>
        <w:rPr>
          <w:rFonts w:eastAsia="华文行楷"/>
          <w:sz w:val="28"/>
          <w:szCs w:val="28"/>
        </w:rPr>
        <w:t xml:space="preserve">             人数</w:t>
      </w:r>
      <w:r>
        <w:rPr>
          <w:rFonts w:eastAsia="华文行楷"/>
          <w:sz w:val="28"/>
          <w:szCs w:val="28"/>
          <w:u w:val="single"/>
        </w:rPr>
        <w:t xml:space="preserve">  15  </w:t>
      </w:r>
      <w:r>
        <w:rPr>
          <w:rFonts w:eastAsia="华文行楷"/>
          <w:sz w:val="28"/>
          <w:szCs w:val="28"/>
        </w:rPr>
        <w:t>人</w:t>
      </w:r>
    </w:p>
    <w:tbl>
      <w:tblPr>
        <w:tblStyle w:val="8"/>
        <w:tblW w:w="107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1749"/>
        <w:gridCol w:w="1276"/>
        <w:gridCol w:w="709"/>
        <w:gridCol w:w="567"/>
        <w:gridCol w:w="567"/>
        <w:gridCol w:w="567"/>
        <w:gridCol w:w="708"/>
        <w:gridCol w:w="851"/>
        <w:gridCol w:w="905"/>
        <w:gridCol w:w="796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  <w:jc w:val="center"/>
        </w:trPr>
        <w:tc>
          <w:tcPr>
            <w:tcW w:w="5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序号</w:t>
            </w:r>
          </w:p>
        </w:tc>
        <w:tc>
          <w:tcPr>
            <w:tcW w:w="1749" w:type="dxa"/>
            <w:tcBorders>
              <w:bottom w:val="single" w:color="auto" w:sz="4" w:space="0"/>
            </w:tcBorders>
            <w:vAlign w:val="center"/>
          </w:tcPr>
          <w:p>
            <w:pPr>
              <w:ind w:left="-294" w:leftChars="-140" w:firstLine="217" w:firstLineChars="90"/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课程名称</w:t>
            </w: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 程</w:t>
            </w:r>
          </w:p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代 码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性质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学分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课时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星期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节次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教室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hint="eastAsia" w:ascii="Kaiti SC Bold" w:hAnsi="Kaiti SC Bold" w:eastAsia="Kaiti SC Bold" w:cs="Kaiti SC Bold"/>
                <w:b/>
                <w:sz w:val="24"/>
              </w:rPr>
              <w:t>授课人</w:t>
            </w:r>
          </w:p>
        </w:tc>
        <w:tc>
          <w:tcPr>
            <w:tcW w:w="79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职称</w:t>
            </w:r>
          </w:p>
        </w:tc>
        <w:tc>
          <w:tcPr>
            <w:tcW w:w="149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备注</w:t>
            </w:r>
          </w:p>
          <w:p>
            <w:pPr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(专业方向)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公司估值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20006399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6-13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李泳</w:t>
            </w: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2-5周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财富管理案例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20006428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6-13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李泳</w:t>
            </w: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养老金融与案例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20006429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专业方向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三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胡继晔</w:t>
            </w:r>
          </w:p>
        </w:tc>
        <w:tc>
          <w:tcPr>
            <w:tcW w:w="796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9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9周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11-17周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金融计算软件与程序设计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20006401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四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李大夜</w:t>
            </w: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11-17</w:t>
            </w:r>
            <w:r>
              <w:rPr>
                <w:szCs w:val="21"/>
              </w:rPr>
              <w:t>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pStyle w:val="7"/>
              <w:jc w:val="center"/>
              <w:rPr>
                <w:rFonts w:ascii="Times New Roman" w:hAnsi="Times New Roman" w:eastAsia="仿宋" w:cs="Times New Roman"/>
                <w:bCs/>
                <w:color w:val="000000"/>
                <w:lang w:bidi="ar"/>
              </w:rPr>
            </w:pPr>
            <w:r>
              <w:rPr>
                <w:rFonts w:ascii="Times New Roman" w:hAnsi="Times New Roman" w:eastAsia="仿宋" w:cs="Times New Roman"/>
                <w:bCs/>
                <w:kern w:val="0"/>
                <w:sz w:val="21"/>
                <w:lang w:bidi="ar"/>
              </w:rPr>
              <w:t>金融学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20006413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补修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陈芑名</w:t>
            </w: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w w:val="90"/>
                <w:szCs w:val="21"/>
              </w:rPr>
            </w:pPr>
            <w:r>
              <w:rPr>
                <w:w w:val="90"/>
                <w:szCs w:val="21"/>
              </w:rPr>
              <w:t>讲师</w:t>
            </w: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hint="eastAsia" w:eastAsia="仿宋"/>
                <w:bCs/>
                <w:kern w:val="0"/>
                <w:lang w:bidi="ar"/>
              </w:rPr>
              <w:t>统计与计量经济学（英文）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10006240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10-13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丛颖男</w:t>
            </w:r>
          </w:p>
        </w:tc>
        <w:tc>
          <w:tcPr>
            <w:tcW w:w="79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9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2-13周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投资分析与决策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20006407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国际课程待定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数量分析与金融市场（英文）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10006371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国际课程待定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51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经济和金融学论文写作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20006424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学位论文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安排讲座</w:t>
            </w:r>
          </w:p>
        </w:tc>
      </w:tr>
    </w:tbl>
    <w:p>
      <w:pPr>
        <w:outlineLvl w:val="0"/>
        <w:rPr>
          <w:rFonts w:eastAsia="黑体"/>
          <w:sz w:val="28"/>
          <w:szCs w:val="28"/>
          <w:u w:val="single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ind w:firstLine="840" w:firstLineChars="300"/>
        <w:outlineLvl w:val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  <w:u w:val="single"/>
        </w:rPr>
        <w:t xml:space="preserve">     </w:t>
      </w:r>
      <w:bookmarkStart w:id="2" w:name="_Toc46067037"/>
      <w:bookmarkStart w:id="3" w:name="_Toc15023520"/>
      <w:r>
        <w:rPr>
          <w:rFonts w:eastAsia="黑体"/>
          <w:sz w:val="28"/>
          <w:szCs w:val="28"/>
          <w:u w:val="single"/>
        </w:rPr>
        <w:t xml:space="preserve">资本金融      </w:t>
      </w:r>
      <w:r>
        <w:rPr>
          <w:rFonts w:eastAsia="黑体"/>
          <w:sz w:val="28"/>
          <w:szCs w:val="28"/>
        </w:rPr>
        <w:t>专业</w:t>
      </w:r>
      <w:r>
        <w:rPr>
          <w:rFonts w:eastAsia="黑体"/>
          <w:sz w:val="28"/>
          <w:szCs w:val="28"/>
          <w:u w:val="single"/>
        </w:rPr>
        <w:t xml:space="preserve">    金融    </w:t>
      </w:r>
      <w:r>
        <w:rPr>
          <w:rFonts w:eastAsia="黑体"/>
          <w:sz w:val="28"/>
          <w:szCs w:val="28"/>
        </w:rPr>
        <w:t>方向硕士生</w:t>
      </w:r>
      <w:bookmarkEnd w:id="2"/>
      <w:bookmarkEnd w:id="3"/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2020-2021学年第一学期课程表</w:t>
      </w:r>
    </w:p>
    <w:p>
      <w:pPr>
        <w:jc w:val="center"/>
        <w:rPr>
          <w:rFonts w:eastAsia="华文行楷"/>
          <w:sz w:val="28"/>
          <w:szCs w:val="28"/>
        </w:rPr>
      </w:pPr>
      <w:r>
        <w:rPr>
          <w:rFonts w:eastAsia="黑体"/>
          <w:sz w:val="28"/>
          <w:szCs w:val="28"/>
        </w:rPr>
        <w:t xml:space="preserve">2020级第一学期 </w:t>
      </w:r>
      <w:r>
        <w:rPr>
          <w:rFonts w:eastAsia="华文行楷"/>
          <w:sz w:val="28"/>
          <w:szCs w:val="28"/>
        </w:rPr>
        <w:t xml:space="preserve">             人数</w:t>
      </w:r>
      <w:r>
        <w:rPr>
          <w:rFonts w:eastAsia="华文行楷"/>
          <w:sz w:val="28"/>
          <w:szCs w:val="28"/>
          <w:u w:val="single"/>
        </w:rPr>
        <w:t xml:space="preserve">  15  </w:t>
      </w:r>
      <w:r>
        <w:rPr>
          <w:rFonts w:eastAsia="华文行楷"/>
          <w:sz w:val="28"/>
          <w:szCs w:val="28"/>
        </w:rPr>
        <w:t>人</w:t>
      </w:r>
    </w:p>
    <w:p>
      <w:pPr>
        <w:jc w:val="center"/>
        <w:rPr>
          <w:rFonts w:eastAsia="华文行楷"/>
          <w:sz w:val="28"/>
          <w:szCs w:val="28"/>
        </w:rPr>
      </w:pPr>
    </w:p>
    <w:tbl>
      <w:tblPr>
        <w:tblStyle w:val="8"/>
        <w:tblW w:w="107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1749"/>
        <w:gridCol w:w="1276"/>
        <w:gridCol w:w="709"/>
        <w:gridCol w:w="567"/>
        <w:gridCol w:w="567"/>
        <w:gridCol w:w="567"/>
        <w:gridCol w:w="708"/>
        <w:gridCol w:w="851"/>
        <w:gridCol w:w="905"/>
        <w:gridCol w:w="854"/>
        <w:gridCol w:w="14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  <w:jc w:val="center"/>
        </w:trPr>
        <w:tc>
          <w:tcPr>
            <w:tcW w:w="5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序号</w:t>
            </w:r>
          </w:p>
        </w:tc>
        <w:tc>
          <w:tcPr>
            <w:tcW w:w="1749" w:type="dxa"/>
            <w:tcBorders>
              <w:bottom w:val="single" w:color="auto" w:sz="4" w:space="0"/>
            </w:tcBorders>
            <w:vAlign w:val="center"/>
          </w:tcPr>
          <w:p>
            <w:pPr>
              <w:ind w:left="-294" w:leftChars="-140" w:firstLine="217" w:firstLineChars="90"/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课程名称</w:t>
            </w:r>
          </w:p>
        </w:tc>
        <w:tc>
          <w:tcPr>
            <w:tcW w:w="12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 程</w:t>
            </w:r>
          </w:p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代 码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性质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学分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课时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星期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节次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教室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hint="eastAsia" w:ascii="Kaiti SC Bold" w:hAnsi="Kaiti SC Bold" w:eastAsia="Kaiti SC Bold" w:cs="Kaiti SC Bold"/>
                <w:b/>
                <w:sz w:val="24"/>
              </w:rPr>
              <w:t>授课人</w:t>
            </w:r>
          </w:p>
        </w:tc>
        <w:tc>
          <w:tcPr>
            <w:tcW w:w="8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职称</w:t>
            </w:r>
          </w:p>
        </w:tc>
        <w:tc>
          <w:tcPr>
            <w:tcW w:w="143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备注</w:t>
            </w:r>
          </w:p>
          <w:p>
            <w:pPr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(专业方向)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中外金融史专题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20006400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熊金武</w:t>
            </w:r>
          </w:p>
        </w:tc>
        <w:tc>
          <w:tcPr>
            <w:tcW w:w="8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副教授</w:t>
            </w:r>
          </w:p>
        </w:tc>
        <w:tc>
          <w:tcPr>
            <w:tcW w:w="14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2-8周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金融监管与案例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eastAsia="仿宋"/>
              </w:rPr>
            </w:pPr>
            <w:r>
              <w:rPr>
                <w:rFonts w:eastAsia="仿宋"/>
              </w:rPr>
              <w:t>20006432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专业方向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baseline"/>
              <w:rPr>
                <w:rFonts w:ascii="Times New Roman Regular" w:hAnsi="Times New Roman Regular" w:cs="Times New Roman Regular"/>
                <w:szCs w:val="21"/>
              </w:rPr>
            </w:pPr>
            <w:r>
              <w:rPr>
                <w:rStyle w:val="15"/>
                <w:rFonts w:ascii="Times New Roman Regular" w:hAnsi="Times New Roman Regular" w:eastAsia="仿宋" w:cs="Times New Roman Regular"/>
                <w:color w:val="000000"/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baseline"/>
              <w:rPr>
                <w:rFonts w:ascii="Times New Roman Regular" w:hAnsi="Times New Roman Regular" w:cs="Times New Roman Regular"/>
                <w:szCs w:val="21"/>
              </w:rPr>
            </w:pPr>
            <w:r>
              <w:rPr>
                <w:rStyle w:val="15"/>
                <w:rFonts w:ascii="Times New Roman Regular" w:hAnsi="Times New Roman Regular" w:eastAsia="仿宋" w:cs="Times New Roman Regular"/>
                <w:color w:val="000000"/>
                <w:sz w:val="24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baseline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胡继晔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9-15周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公司估值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20006399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李泳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2-5周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财富管理案例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20006428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李泳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</w:rPr>
            </w:pPr>
            <w:r>
              <w:rPr>
                <w:rFonts w:eastAsia="仿宋"/>
                <w:bCs/>
              </w:rPr>
              <w:t>公司金融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20006388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三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423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胡历芳</w:t>
            </w:r>
          </w:p>
        </w:tc>
        <w:tc>
          <w:tcPr>
            <w:tcW w:w="8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8-17周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养老金融与案例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20006429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专业方向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三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胡继晔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textAlignment w:val="baseline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9周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11-17周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金融计算软件与程序设计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20006401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四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1-5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李大夜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11-17</w:t>
            </w:r>
            <w:r>
              <w:rPr>
                <w:szCs w:val="21"/>
              </w:rPr>
              <w:t>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证券投资学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20006389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四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李伯尧</w:t>
            </w:r>
          </w:p>
        </w:tc>
        <w:tc>
          <w:tcPr>
            <w:tcW w:w="8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2-13周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74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金融理论与政策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20006405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国信证券</w:t>
            </w:r>
          </w:p>
        </w:tc>
        <w:tc>
          <w:tcPr>
            <w:tcW w:w="8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校外</w:t>
            </w:r>
          </w:p>
        </w:tc>
        <w:tc>
          <w:tcPr>
            <w:tcW w:w="14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1749" w:type="dxa"/>
            <w:vAlign w:val="center"/>
          </w:tcPr>
          <w:p>
            <w:pPr>
              <w:pStyle w:val="7"/>
              <w:jc w:val="center"/>
              <w:rPr>
                <w:rFonts w:ascii="Times New Roman" w:hAnsi="Times New Roman" w:eastAsia="仿宋" w:cs="Times New Roman"/>
                <w:bCs/>
                <w:color w:val="000000"/>
                <w:lang w:bidi="ar"/>
              </w:rPr>
            </w:pPr>
            <w:r>
              <w:rPr>
                <w:rFonts w:ascii="Times New Roman" w:hAnsi="Times New Roman" w:eastAsia="仿宋" w:cs="Times New Roman"/>
                <w:bCs/>
                <w:kern w:val="0"/>
                <w:sz w:val="21"/>
                <w:lang w:bidi="ar"/>
              </w:rPr>
              <w:t>金融学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20006413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陈芑名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w w:val="90"/>
                <w:szCs w:val="21"/>
              </w:rPr>
            </w:pPr>
            <w:r>
              <w:rPr>
                <w:w w:val="90"/>
                <w:szCs w:val="21"/>
              </w:rPr>
              <w:t>讲师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hint="eastAsia" w:eastAsia="仿宋"/>
                <w:bCs/>
                <w:kern w:val="0"/>
                <w:lang w:bidi="ar"/>
              </w:rPr>
              <w:t>统计与计量经济学（英文）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10-13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丛颖男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2-13周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投资分析与决策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20006407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国际课程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bCs/>
                <w:kern w:val="0"/>
                <w:lang w:bidi="ar"/>
              </w:rPr>
              <w:t>数量分析与金融市场（英文）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10006371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国际课程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待定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eastAsia="黑体"/>
          <w:sz w:val="28"/>
          <w:szCs w:val="28"/>
        </w:rPr>
      </w:pPr>
      <w:bookmarkStart w:id="4" w:name="_Toc46067038"/>
      <w:r>
        <w:rPr>
          <w:rFonts w:eastAsia="黑体"/>
          <w:sz w:val="28"/>
          <w:szCs w:val="28"/>
          <w:u w:val="single"/>
        </w:rPr>
        <w:t xml:space="preserve">国际商务   </w:t>
      </w:r>
      <w:r>
        <w:rPr>
          <w:rFonts w:eastAsia="黑体"/>
          <w:sz w:val="28"/>
          <w:szCs w:val="28"/>
        </w:rPr>
        <w:t>专业</w:t>
      </w:r>
      <w:r>
        <w:rPr>
          <w:rFonts w:eastAsia="黑体"/>
          <w:sz w:val="28"/>
          <w:szCs w:val="28"/>
          <w:u w:val="single"/>
        </w:rPr>
        <w:t xml:space="preserve">   国际商务  </w:t>
      </w:r>
      <w:r>
        <w:rPr>
          <w:rFonts w:eastAsia="黑体"/>
          <w:sz w:val="28"/>
          <w:szCs w:val="28"/>
        </w:rPr>
        <w:t>方向硕士生</w:t>
      </w:r>
      <w:bookmarkEnd w:id="4"/>
      <w:r>
        <w:rPr>
          <w:rFonts w:eastAsia="黑体"/>
          <w:sz w:val="28"/>
          <w:szCs w:val="28"/>
        </w:rPr>
        <w:t xml:space="preserve"> </w:t>
      </w:r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2020-2021学年第一学期课程表</w:t>
      </w:r>
    </w:p>
    <w:p>
      <w:pPr>
        <w:jc w:val="center"/>
        <w:rPr>
          <w:rFonts w:eastAsia="华文行楷"/>
          <w:sz w:val="28"/>
          <w:szCs w:val="28"/>
        </w:rPr>
      </w:pPr>
      <w:r>
        <w:rPr>
          <w:rFonts w:eastAsia="黑体"/>
          <w:sz w:val="28"/>
          <w:szCs w:val="28"/>
        </w:rPr>
        <w:t xml:space="preserve">2019级第一学期 </w:t>
      </w:r>
      <w:r>
        <w:rPr>
          <w:rFonts w:eastAsia="华文行楷"/>
          <w:sz w:val="28"/>
          <w:szCs w:val="28"/>
        </w:rPr>
        <w:t xml:space="preserve">             人数</w:t>
      </w:r>
      <w:r>
        <w:rPr>
          <w:rFonts w:eastAsia="华文行楷"/>
          <w:sz w:val="28"/>
          <w:szCs w:val="28"/>
          <w:u w:val="single"/>
        </w:rPr>
        <w:t xml:space="preserve">  15  </w:t>
      </w:r>
      <w:r>
        <w:rPr>
          <w:rFonts w:eastAsia="华文行楷"/>
          <w:sz w:val="28"/>
          <w:szCs w:val="28"/>
        </w:rPr>
        <w:t>人</w:t>
      </w:r>
    </w:p>
    <w:p>
      <w:pPr>
        <w:jc w:val="center"/>
        <w:rPr>
          <w:rFonts w:eastAsia="华文行楷"/>
          <w:sz w:val="28"/>
          <w:szCs w:val="28"/>
        </w:rPr>
      </w:pPr>
    </w:p>
    <w:tbl>
      <w:tblPr>
        <w:tblStyle w:val="8"/>
        <w:tblW w:w="108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2029"/>
        <w:gridCol w:w="1134"/>
        <w:gridCol w:w="709"/>
        <w:gridCol w:w="567"/>
        <w:gridCol w:w="633"/>
        <w:gridCol w:w="501"/>
        <w:gridCol w:w="708"/>
        <w:gridCol w:w="851"/>
        <w:gridCol w:w="905"/>
        <w:gridCol w:w="938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  <w:jc w:val="center"/>
        </w:trPr>
        <w:tc>
          <w:tcPr>
            <w:tcW w:w="5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序号</w:t>
            </w:r>
          </w:p>
        </w:tc>
        <w:tc>
          <w:tcPr>
            <w:tcW w:w="2029" w:type="dxa"/>
            <w:tcBorders>
              <w:bottom w:val="single" w:color="auto" w:sz="4" w:space="0"/>
            </w:tcBorders>
            <w:vAlign w:val="center"/>
          </w:tcPr>
          <w:p>
            <w:pPr>
              <w:ind w:left="-294" w:leftChars="-140" w:firstLine="217" w:firstLineChars="90"/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课程名称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 程</w:t>
            </w:r>
          </w:p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代 码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性质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学分</w:t>
            </w:r>
          </w:p>
        </w:tc>
        <w:tc>
          <w:tcPr>
            <w:tcW w:w="63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课时</w:t>
            </w:r>
          </w:p>
        </w:tc>
        <w:tc>
          <w:tcPr>
            <w:tcW w:w="50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星期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节次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教室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授课人</w:t>
            </w:r>
          </w:p>
        </w:tc>
        <w:tc>
          <w:tcPr>
            <w:tcW w:w="93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职称</w:t>
            </w:r>
          </w:p>
        </w:tc>
        <w:tc>
          <w:tcPr>
            <w:tcW w:w="13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备注</w:t>
            </w:r>
          </w:p>
          <w:p>
            <w:pPr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(专业方向)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029" w:type="dxa"/>
            <w:vAlign w:val="center"/>
          </w:tcPr>
          <w:p>
            <w:pPr>
              <w:ind w:left="-57" w:right="-57"/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国际形象管理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20006419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六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日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伍永宜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3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10月10、11、17、18日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eastAsia="黑体"/>
          <w:sz w:val="28"/>
          <w:szCs w:val="28"/>
        </w:rPr>
      </w:pPr>
      <w:bookmarkStart w:id="5" w:name="_Toc15023521"/>
      <w:bookmarkStart w:id="6" w:name="_Toc46067039"/>
      <w:r>
        <w:rPr>
          <w:rFonts w:eastAsia="黑体"/>
          <w:sz w:val="28"/>
          <w:szCs w:val="28"/>
          <w:u w:val="single"/>
        </w:rPr>
        <w:t xml:space="preserve">国际商务   </w:t>
      </w:r>
      <w:r>
        <w:rPr>
          <w:rFonts w:eastAsia="黑体"/>
          <w:sz w:val="28"/>
          <w:szCs w:val="28"/>
        </w:rPr>
        <w:t>专业</w:t>
      </w:r>
      <w:r>
        <w:rPr>
          <w:rFonts w:eastAsia="黑体"/>
          <w:sz w:val="28"/>
          <w:szCs w:val="28"/>
          <w:u w:val="single"/>
        </w:rPr>
        <w:t xml:space="preserve">   国际商务  </w:t>
      </w:r>
      <w:r>
        <w:rPr>
          <w:rFonts w:eastAsia="黑体"/>
          <w:sz w:val="28"/>
          <w:szCs w:val="28"/>
        </w:rPr>
        <w:t>方向硕士生</w:t>
      </w:r>
      <w:bookmarkEnd w:id="5"/>
      <w:bookmarkEnd w:id="6"/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 xml:space="preserve"> 2020-2021学年第一学期课程表</w:t>
      </w:r>
    </w:p>
    <w:p>
      <w:pPr>
        <w:jc w:val="center"/>
        <w:rPr>
          <w:rFonts w:eastAsia="华文行楷"/>
          <w:sz w:val="28"/>
          <w:szCs w:val="28"/>
        </w:rPr>
      </w:pPr>
      <w:r>
        <w:rPr>
          <w:rFonts w:eastAsia="黑体"/>
          <w:sz w:val="28"/>
          <w:szCs w:val="28"/>
        </w:rPr>
        <w:t xml:space="preserve">2020级第一学期 </w:t>
      </w:r>
      <w:r>
        <w:rPr>
          <w:rFonts w:eastAsia="华文行楷"/>
          <w:sz w:val="28"/>
          <w:szCs w:val="28"/>
        </w:rPr>
        <w:t xml:space="preserve">             人数</w:t>
      </w:r>
      <w:r>
        <w:rPr>
          <w:rFonts w:eastAsia="华文行楷"/>
          <w:sz w:val="28"/>
          <w:szCs w:val="28"/>
          <w:u w:val="single"/>
        </w:rPr>
        <w:t xml:space="preserve">  15  </w:t>
      </w:r>
      <w:r>
        <w:rPr>
          <w:rFonts w:eastAsia="华文行楷"/>
          <w:sz w:val="28"/>
          <w:szCs w:val="28"/>
        </w:rPr>
        <w:t>人</w:t>
      </w:r>
    </w:p>
    <w:tbl>
      <w:tblPr>
        <w:tblStyle w:val="8"/>
        <w:tblW w:w="108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2029"/>
        <w:gridCol w:w="1134"/>
        <w:gridCol w:w="709"/>
        <w:gridCol w:w="567"/>
        <w:gridCol w:w="633"/>
        <w:gridCol w:w="501"/>
        <w:gridCol w:w="708"/>
        <w:gridCol w:w="851"/>
        <w:gridCol w:w="905"/>
        <w:gridCol w:w="938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  <w:jc w:val="center"/>
        </w:trPr>
        <w:tc>
          <w:tcPr>
            <w:tcW w:w="5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序号</w:t>
            </w:r>
          </w:p>
        </w:tc>
        <w:tc>
          <w:tcPr>
            <w:tcW w:w="2029" w:type="dxa"/>
            <w:tcBorders>
              <w:bottom w:val="single" w:color="auto" w:sz="4" w:space="0"/>
            </w:tcBorders>
            <w:vAlign w:val="center"/>
          </w:tcPr>
          <w:p>
            <w:pPr>
              <w:ind w:left="-294" w:leftChars="-140" w:firstLine="217" w:firstLineChars="90"/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课程名称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 程</w:t>
            </w:r>
          </w:p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代 码</w:t>
            </w:r>
          </w:p>
        </w:tc>
        <w:tc>
          <w:tcPr>
            <w:tcW w:w="7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性质</w:t>
            </w:r>
          </w:p>
        </w:tc>
        <w:tc>
          <w:tcPr>
            <w:tcW w:w="5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学分</w:t>
            </w:r>
          </w:p>
        </w:tc>
        <w:tc>
          <w:tcPr>
            <w:tcW w:w="63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课时</w:t>
            </w:r>
          </w:p>
        </w:tc>
        <w:tc>
          <w:tcPr>
            <w:tcW w:w="50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星期</w:t>
            </w:r>
          </w:p>
        </w:tc>
        <w:tc>
          <w:tcPr>
            <w:tcW w:w="70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节次</w:t>
            </w:r>
          </w:p>
        </w:tc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教室</w:t>
            </w:r>
          </w:p>
        </w:tc>
        <w:tc>
          <w:tcPr>
            <w:tcW w:w="9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授课人</w:t>
            </w:r>
          </w:p>
        </w:tc>
        <w:tc>
          <w:tcPr>
            <w:tcW w:w="93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职称</w:t>
            </w:r>
          </w:p>
        </w:tc>
        <w:tc>
          <w:tcPr>
            <w:tcW w:w="13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24"/>
              </w:rPr>
            </w:pPr>
            <w:r>
              <w:rPr>
                <w:rFonts w:eastAsia="黑体"/>
                <w:b/>
                <w:bCs/>
                <w:sz w:val="24"/>
              </w:rPr>
              <w:t>备注</w:t>
            </w:r>
          </w:p>
          <w:p>
            <w:pPr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(专业方向)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ind w:left="-57" w:right="-57"/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国际商务谈判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  <w:color w:val="000000"/>
              </w:rPr>
              <w:t>20006374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一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张淑静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6-13周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国际贸易政策与实务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 Medium" w:hAnsi="Times New Roman Medium" w:eastAsia="Times New Roman Medium" w:cs="Times New Roman Medium"/>
                <w:color w:val="000000"/>
                <w:sz w:val="24"/>
              </w:rPr>
            </w:pPr>
            <w:r>
              <w:rPr>
                <w:rFonts w:eastAsia="仿宋"/>
                <w:color w:val="000000"/>
              </w:rPr>
              <w:t>20006377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二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406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杨丽花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副教授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经济学分析与应用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  <w:color w:val="000000"/>
              </w:rPr>
              <w:t>20006372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63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0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三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胡明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梁涵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副教授</w:t>
            </w:r>
          </w:p>
        </w:tc>
        <w:tc>
          <w:tcPr>
            <w:tcW w:w="13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2-6周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7-11周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跨国并购与重组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color w:val="323232"/>
              </w:rPr>
            </w:pPr>
            <w:r>
              <w:rPr>
                <w:rFonts w:eastAsia="仿宋"/>
                <w:color w:val="000000"/>
              </w:rPr>
              <w:t>20006375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三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504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张婷婷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2-8周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第9周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国际商务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  <w:color w:val="000000"/>
              </w:rPr>
              <w:t>20006373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必修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四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宏结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梁涵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w w:val="90"/>
                <w:szCs w:val="21"/>
              </w:rPr>
            </w:pPr>
            <w:r>
              <w:rPr>
                <w:w w:val="90"/>
                <w:szCs w:val="21"/>
              </w:rPr>
              <w:t>教授</w:t>
            </w:r>
          </w:p>
          <w:p>
            <w:pPr>
              <w:jc w:val="center"/>
              <w:rPr>
                <w:w w:val="90"/>
                <w:szCs w:val="21"/>
              </w:rPr>
            </w:pPr>
            <w:r>
              <w:rPr>
                <w:w w:val="90"/>
                <w:szCs w:val="21"/>
              </w:rPr>
              <w:t>副教授</w:t>
            </w:r>
          </w:p>
        </w:tc>
        <w:tc>
          <w:tcPr>
            <w:tcW w:w="13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2-5周</w:t>
            </w:r>
          </w:p>
          <w:p>
            <w:pPr>
              <w:ind w:firstLine="315" w:firstLineChars="150"/>
              <w:rPr>
                <w:szCs w:val="21"/>
              </w:rPr>
            </w:pPr>
            <w:r>
              <w:rPr>
                <w:szCs w:val="21"/>
              </w:rPr>
              <w:t>6-8周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eastAsia="仿宋"/>
                <w:color w:val="000000"/>
              </w:rPr>
              <w:t>国际高端品牌营造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  <w:color w:val="000000"/>
              </w:rPr>
              <w:t>20006381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限选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1-5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406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陈曦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副教授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2-6周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8-9周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2029" w:type="dxa"/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eastAsia="仿宋"/>
                <w:bCs/>
                <w:kern w:val="0"/>
                <w:lang w:bidi="ar"/>
              </w:rPr>
            </w:pPr>
            <w:r>
              <w:rPr>
                <w:rFonts w:hint="eastAsia" w:eastAsia="仿宋"/>
                <w:bCs/>
                <w:kern w:val="0"/>
                <w:lang w:bidi="ar"/>
              </w:rPr>
              <w:t>统计与计量经济学（英文）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eastAsia="仿宋"/>
              </w:rPr>
            </w:pPr>
            <w:r>
              <w:rPr>
                <w:rFonts w:eastAsia="仿宋"/>
              </w:rPr>
              <w:t>20006422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633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48</w:t>
            </w:r>
          </w:p>
        </w:tc>
        <w:tc>
          <w:tcPr>
            <w:tcW w:w="50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五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10-13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丛颖男</w:t>
            </w:r>
          </w:p>
        </w:tc>
        <w:tc>
          <w:tcPr>
            <w:tcW w:w="93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讲师</w:t>
            </w:r>
          </w:p>
        </w:tc>
        <w:tc>
          <w:tcPr>
            <w:tcW w:w="1354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2-13周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ind w:left="-57" w:right="-57"/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国际形象管理</w:t>
            </w:r>
          </w:p>
          <w:p>
            <w:pPr>
              <w:ind w:left="-57" w:right="-57"/>
              <w:jc w:val="center"/>
              <w:rPr>
                <w:rFonts w:hint="eastAsia" w:eastAsia="仿宋"/>
                <w:color w:val="000000"/>
                <w:lang w:eastAsia="zh-CN"/>
              </w:rPr>
            </w:pPr>
            <w:r>
              <w:rPr>
                <w:rFonts w:hint="eastAsia" w:eastAsia="仿宋"/>
                <w:color w:val="000000"/>
                <w:lang w:eastAsia="zh-CN"/>
              </w:rPr>
              <w:t>（</w:t>
            </w:r>
            <w:r>
              <w:rPr>
                <w:rFonts w:hint="eastAsia" w:eastAsia="仿宋"/>
                <w:color w:val="000000"/>
                <w:lang w:val="en-US" w:eastAsia="zh-CN"/>
              </w:rPr>
              <w:t>国际课程</w:t>
            </w:r>
            <w:r>
              <w:rPr>
                <w:rFonts w:hint="eastAsia" w:eastAsia="仿宋"/>
                <w:color w:val="000000"/>
                <w:lang w:eastAsia="zh-CN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20006419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六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日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伍永宜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10月10、11、17、18日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51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2029" w:type="dxa"/>
            <w:shd w:val="clear" w:color="auto" w:fill="auto"/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奢侈品管理</w:t>
            </w:r>
          </w:p>
          <w:p>
            <w:pPr>
              <w:jc w:val="center"/>
              <w:rPr>
                <w:rFonts w:hint="eastAsia" w:eastAsia="仿宋"/>
                <w:color w:val="000000"/>
                <w:lang w:eastAsia="zh-CN"/>
              </w:rPr>
            </w:pPr>
            <w:r>
              <w:rPr>
                <w:rFonts w:hint="eastAsia" w:eastAsia="仿宋"/>
                <w:color w:val="000000"/>
                <w:lang w:eastAsia="zh-CN"/>
              </w:rPr>
              <w:t>（</w:t>
            </w:r>
            <w:r>
              <w:rPr>
                <w:rFonts w:hint="eastAsia" w:eastAsia="仿宋"/>
                <w:color w:val="000000"/>
                <w:lang w:val="en-US" w:eastAsia="zh-CN"/>
              </w:rPr>
              <w:t>国际课程</w:t>
            </w:r>
            <w:r>
              <w:rPr>
                <w:rFonts w:hint="eastAsia" w:eastAsia="仿宋"/>
                <w:color w:val="000000"/>
                <w:lang w:eastAsia="zh-CN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jc w:val="center"/>
              <w:rPr>
                <w:color w:val="323232"/>
              </w:rPr>
            </w:pPr>
            <w:r>
              <w:rPr>
                <w:color w:val="323232"/>
              </w:rPr>
              <w:t>20006384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选修</w:t>
            </w:r>
          </w:p>
        </w:tc>
        <w:tc>
          <w:tcPr>
            <w:tcW w:w="567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</w:t>
            </w:r>
          </w:p>
        </w:tc>
        <w:tc>
          <w:tcPr>
            <w:tcW w:w="501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六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日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2-9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w w:val="80"/>
                <w:szCs w:val="21"/>
              </w:rPr>
            </w:pPr>
            <w:r>
              <w:rPr>
                <w:w w:val="80"/>
                <w:szCs w:val="21"/>
              </w:rPr>
              <w:t>科B716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Denis</w:t>
            </w:r>
          </w:p>
        </w:tc>
        <w:tc>
          <w:tcPr>
            <w:tcW w:w="938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教授</w:t>
            </w:r>
          </w:p>
        </w:tc>
        <w:tc>
          <w:tcPr>
            <w:tcW w:w="1354" w:type="dxa"/>
            <w:shd w:val="clear" w:color="auto" w:fill="auto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11月14、15、21、22日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7" w:name="_Toc46067040"/>
      <w:r>
        <w:rPr>
          <w:rFonts w:hint="eastAsia"/>
        </w:rPr>
        <w:t>《中外金融史专题》课程进度表</w:t>
      </w:r>
      <w:bookmarkEnd w:id="7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中外金融史专题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楷体_GB2312"/>
          <w:sz w:val="28"/>
          <w:u w:val="single"/>
        </w:rPr>
        <w:t xml:space="preserve"> 金融专硕 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ascii="楷体_GB2312" w:eastAsia="楷体_GB2312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>2</w:t>
      </w:r>
      <w:r>
        <w:rPr>
          <w:rFonts w:eastAsia="楷体_GB2312"/>
          <w:sz w:val="28"/>
          <w:u w:val="single"/>
        </w:rPr>
        <w:t>020</w:t>
      </w:r>
      <w:r>
        <w:rPr>
          <w:rFonts w:hint="eastAsia" w:eastAsia="楷体_GB2312"/>
          <w:sz w:val="28"/>
          <w:u w:val="single"/>
        </w:rPr>
        <w:t>级</w:t>
      </w:r>
      <w:r>
        <w:rPr>
          <w:rFonts w:hint="eastAsia" w:ascii="楷体_GB2312" w:eastAsia="楷体_GB2312"/>
          <w:sz w:val="28"/>
          <w:u w:val="single"/>
        </w:rPr>
        <w:t xml:space="preserve">    </w:t>
      </w:r>
    </w:p>
    <w:tbl>
      <w:tblPr>
        <w:tblStyle w:val="8"/>
        <w:tblW w:w="8833" w:type="dxa"/>
        <w:tblInd w:w="-1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2821"/>
        <w:gridCol w:w="677"/>
        <w:gridCol w:w="1059"/>
        <w:gridCol w:w="1135"/>
        <w:gridCol w:w="2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93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82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67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22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金融的本质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金融与古代文明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中国古代金融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金融史上的大分流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金融革命与现代文明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近代中国金融与金融家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</w:trPr>
        <w:tc>
          <w:tcPr>
            <w:tcW w:w="9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金融与中国经济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熊金武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22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</w:tbl>
    <w:p>
      <w:pPr>
        <w:jc w:val="center"/>
        <w:textAlignment w:val="baseline"/>
        <w:rPr>
          <w:rStyle w:val="15"/>
          <w:rFonts w:ascii="宋体" w:hAnsi="宋体"/>
          <w:b/>
          <w:bCs/>
          <w:sz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Style w:val="15"/>
          <w:rFonts w:ascii="宋体" w:hAnsi="宋体"/>
          <w:bCs w:val="0"/>
          <w:sz w:val="36"/>
          <w:szCs w:val="36"/>
        </w:rPr>
      </w:pPr>
      <w:bookmarkStart w:id="8" w:name="_Toc46067041"/>
      <w:r>
        <w:rPr>
          <w:rStyle w:val="15"/>
          <w:rFonts w:hint="eastAsia" w:ascii="宋体" w:hAnsi="宋体"/>
          <w:sz w:val="36"/>
          <w:szCs w:val="36"/>
        </w:rPr>
        <w:t>《</w:t>
      </w:r>
      <w:r>
        <w:rPr>
          <w:rStyle w:val="15"/>
          <w:sz w:val="36"/>
          <w:szCs w:val="36"/>
        </w:rPr>
        <w:t>金融监管及案例</w:t>
      </w:r>
      <w:r>
        <w:rPr>
          <w:rStyle w:val="15"/>
          <w:rFonts w:hint="eastAsia" w:ascii="宋体" w:hAnsi="宋体"/>
          <w:sz w:val="36"/>
          <w:szCs w:val="36"/>
        </w:rPr>
        <w:t>》</w:t>
      </w:r>
      <w:r>
        <w:rPr>
          <w:rStyle w:val="15"/>
          <w:rFonts w:ascii="宋体" w:hAnsi="宋体"/>
          <w:sz w:val="36"/>
          <w:szCs w:val="36"/>
        </w:rPr>
        <w:t>课程进度表</w:t>
      </w:r>
      <w:bookmarkEnd w:id="8"/>
    </w:p>
    <w:p>
      <w:pPr>
        <w:spacing w:line="480" w:lineRule="auto"/>
        <w:textAlignment w:val="baseline"/>
        <w:rPr>
          <w:rStyle w:val="15"/>
          <w:sz w:val="28"/>
          <w:u w:val="single"/>
        </w:rPr>
      </w:pPr>
      <w:r>
        <w:rPr>
          <w:rStyle w:val="15"/>
          <w:rFonts w:eastAsia="黑体"/>
          <w:sz w:val="28"/>
        </w:rPr>
        <w:t>课程名称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eastAsia="楷体_GB2312"/>
          <w:sz w:val="28"/>
          <w:szCs w:val="28"/>
          <w:u w:val="single"/>
        </w:rPr>
        <w:t xml:space="preserve">金融监管及案例    </w:t>
      </w:r>
      <w:r>
        <w:rPr>
          <w:rStyle w:val="15"/>
          <w:rFonts w:eastAsia="黑体"/>
          <w:sz w:val="28"/>
        </w:rPr>
        <w:t>专 业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eastAsia="楷体_GB2312"/>
          <w:sz w:val="28"/>
          <w:szCs w:val="28"/>
          <w:u w:val="single"/>
        </w:rPr>
        <w:t>金融专硕</w:t>
      </w:r>
      <w:r>
        <w:rPr>
          <w:rStyle w:val="15"/>
          <w:sz w:val="28"/>
          <w:u w:val="single"/>
        </w:rPr>
        <w:t xml:space="preserve">     </w:t>
      </w:r>
      <w:r>
        <w:rPr>
          <w:rStyle w:val="15"/>
          <w:rFonts w:eastAsia="黑体"/>
          <w:sz w:val="28"/>
        </w:rPr>
        <w:t>年 级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ascii="楷体_GB2312" w:eastAsia="楷体_GB2312"/>
          <w:sz w:val="24"/>
          <w:szCs w:val="22"/>
          <w:u w:val="single"/>
        </w:rPr>
        <w:t xml:space="preserve"> </w:t>
      </w:r>
      <w:r>
        <w:rPr>
          <w:rStyle w:val="15"/>
          <w:rFonts w:eastAsia="楷体_GB2312"/>
          <w:sz w:val="28"/>
          <w:szCs w:val="28"/>
          <w:u w:val="single"/>
        </w:rPr>
        <w:t>2019级</w:t>
      </w:r>
      <w:r>
        <w:rPr>
          <w:rStyle w:val="15"/>
          <w:rFonts w:ascii="楷体_GB2312" w:eastAsia="楷体_GB2312"/>
          <w:sz w:val="24"/>
          <w:szCs w:val="22"/>
          <w:u w:val="single"/>
        </w:rPr>
        <w:t xml:space="preserve"> </w:t>
      </w:r>
      <w:r>
        <w:rPr>
          <w:rStyle w:val="15"/>
          <w:rFonts w:ascii="楷体_GB2312" w:eastAsia="楷体_GB2312"/>
          <w:sz w:val="28"/>
          <w:u w:val="single"/>
        </w:rPr>
        <w:t xml:space="preserve">   </w:t>
      </w:r>
      <w:r>
        <w:rPr>
          <w:rStyle w:val="15"/>
          <w:sz w:val="28"/>
          <w:u w:val="single"/>
        </w:rPr>
        <w:t xml:space="preserve"> </w:t>
      </w:r>
    </w:p>
    <w:tbl>
      <w:tblPr>
        <w:tblStyle w:val="8"/>
        <w:tblW w:w="8717" w:type="dxa"/>
        <w:tblInd w:w="-2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7"/>
        <w:gridCol w:w="2793"/>
        <w:gridCol w:w="1200"/>
        <w:gridCol w:w="1417"/>
        <w:gridCol w:w="1308"/>
        <w:gridCol w:w="9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64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周次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课 程 内 容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课时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授课人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职 称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金融监管导论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法律金融理论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中央银行监管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商业银行监管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证券监管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保险及信托监管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数字金融及其监管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胡继晔</w:t>
            </w:r>
          </w:p>
        </w:tc>
        <w:tc>
          <w:tcPr>
            <w:tcW w:w="1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9" w:name="_Toc46067042"/>
      <w:r>
        <w:rPr>
          <w:rFonts w:hint="eastAsia"/>
        </w:rPr>
        <w:t>《公司估值》课程进度表</w:t>
      </w:r>
      <w:bookmarkEnd w:id="9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公司估值 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 </w:t>
      </w:r>
      <w:r>
        <w:rPr>
          <w:rFonts w:hint="eastAsia" w:eastAsia="楷体_GB2312"/>
          <w:sz w:val="28"/>
          <w:u w:val="single"/>
        </w:rPr>
        <w:t>金融</w:t>
      </w:r>
      <w:r>
        <w:rPr>
          <w:rFonts w:hint="eastAsia"/>
          <w:sz w:val="28"/>
          <w:u w:val="single"/>
        </w:rPr>
        <w:t xml:space="preserve">  </w:t>
      </w:r>
      <w:r>
        <w:rPr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ascii="楷体_GB2312" w:eastAsia="楷体_GB2312"/>
          <w:sz w:val="28"/>
          <w:u w:val="single"/>
        </w:rPr>
        <w:t xml:space="preserve">  </w:t>
      </w:r>
      <w:r>
        <w:rPr>
          <w:rFonts w:ascii="楷体_GB2312" w:eastAsia="楷体_GB2312"/>
          <w:sz w:val="28"/>
          <w:u w:val="single"/>
        </w:rPr>
        <w:t>2019级、2020级</w:t>
      </w:r>
      <w:r>
        <w:rPr>
          <w:rFonts w:hint="eastAsia" w:ascii="楷体_GB2312" w:eastAsia="楷体_GB2312"/>
          <w:sz w:val="28"/>
          <w:u w:val="single"/>
        </w:rPr>
        <w:t xml:space="preserve">    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Calibri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公司价值评估的必要性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公司估值模型及估值技巧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价值评估乘数及基于乘数的价值评估方法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麦肯锡现金流量折现评估模型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公司价值创造、财务与经营价值驱动因素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结构化分析方法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一个完整的价值评估分析案例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r>
        <w:br w:type="page"/>
      </w:r>
    </w:p>
    <w:p>
      <w:pPr>
        <w:pStyle w:val="2"/>
      </w:pPr>
      <w:bookmarkStart w:id="10" w:name="_Toc46067043"/>
      <w:r>
        <w:rPr>
          <w:rFonts w:hint="eastAsia"/>
        </w:rPr>
        <w:t>《财富管理案例》课程进度表</w:t>
      </w:r>
      <w:bookmarkEnd w:id="10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财富管理案例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楷体_GB2312"/>
          <w:sz w:val="28"/>
          <w:u w:val="single"/>
        </w:rPr>
        <w:t>金融</w:t>
      </w:r>
      <w:r>
        <w:rPr>
          <w:rFonts w:hint="eastAsia"/>
          <w:sz w:val="28"/>
          <w:u w:val="single"/>
        </w:rPr>
        <w:t xml:space="preserve"> </w:t>
      </w:r>
      <w:r>
        <w:rPr>
          <w:sz w:val="28"/>
          <w:u w:val="single"/>
        </w:rPr>
        <w:t xml:space="preserve"> 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ascii="楷体_GB2312" w:eastAsia="楷体_GB2312"/>
          <w:sz w:val="28"/>
          <w:u w:val="single"/>
        </w:rPr>
        <w:t>2019级、2020级</w:t>
      </w:r>
      <w:r>
        <w:rPr>
          <w:rFonts w:hint="eastAsia" w:ascii="楷体_GB2312" w:eastAsia="楷体_GB2312"/>
          <w:sz w:val="28"/>
          <w:u w:val="single"/>
        </w:rPr>
        <w:t xml:space="preserve">    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Calibri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家庭资产配置-现金管理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债务管理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投资管理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遗产规划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退休计划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税务筹划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rFonts w:hint="eastAsia" w:ascii="宋体" w:hAnsi="Calibri" w:cs="宋体"/>
                <w:kern w:val="0"/>
                <w:sz w:val="24"/>
              </w:rPr>
              <w:t>一个完整的财富管理分析案例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李泳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1" w:name="_Toc46067044"/>
      <w:r>
        <w:rPr>
          <w:rFonts w:hint="eastAsia"/>
        </w:rPr>
        <w:t>《</w:t>
      </w:r>
      <w:r>
        <w:t>公司金融</w:t>
      </w:r>
      <w:r>
        <w:rPr>
          <w:rFonts w:hint="eastAsia"/>
        </w:rPr>
        <w:t>》</w:t>
      </w:r>
      <w:r>
        <w:t>课程进度表</w:t>
      </w:r>
      <w:bookmarkEnd w:id="11"/>
    </w:p>
    <w:p>
      <w:pPr>
        <w:spacing w:line="480" w:lineRule="auto"/>
        <w:textAlignment w:val="baseline"/>
        <w:rPr>
          <w:rStyle w:val="15"/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</w:t>
      </w:r>
      <w:r>
        <w:rPr>
          <w:rFonts w:eastAsia="楷体_GB2312"/>
          <w:sz w:val="28"/>
          <w:u w:val="single"/>
        </w:rPr>
        <w:t xml:space="preserve">公司金融   </w:t>
      </w:r>
      <w:r>
        <w:rPr>
          <w:rFonts w:hint="eastAsia" w:eastAsia="楷体_GB2312"/>
          <w:sz w:val="28"/>
          <w:u w:val="single"/>
        </w:rPr>
        <w:t xml:space="preserve">  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/>
          <w:sz w:val="28"/>
          <w:u w:val="single"/>
          <w:lang w:val="en-US" w:eastAsia="zh-CN"/>
        </w:rPr>
        <w:t xml:space="preserve">    </w:t>
      </w:r>
      <w:r>
        <w:rPr>
          <w:rFonts w:hint="eastAsia" w:eastAsia="楷体_GB2312"/>
          <w:sz w:val="28"/>
          <w:u w:val="single"/>
        </w:rPr>
        <w:t>金融</w:t>
      </w:r>
      <w:r>
        <w:rPr>
          <w:rFonts w:hint="eastAsia"/>
          <w:sz w:val="28"/>
          <w:u w:val="single"/>
        </w:rPr>
        <w:t xml:space="preserve">   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ascii="楷体_GB2312" w:eastAsia="楷体_GB2312"/>
          <w:sz w:val="28"/>
          <w:u w:val="single"/>
        </w:rPr>
        <w:t>2019级</w:t>
      </w:r>
      <w:r>
        <w:rPr>
          <w:rStyle w:val="15"/>
          <w:rFonts w:ascii="楷体_GB2312" w:eastAsia="楷体_GB2312"/>
          <w:sz w:val="28"/>
          <w:u w:val="single"/>
        </w:rPr>
        <w:t xml:space="preserve"> </w:t>
      </w:r>
      <w:r>
        <w:rPr>
          <w:rStyle w:val="15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b/>
                <w:bCs/>
                <w:sz w:val="24"/>
              </w:rPr>
            </w:pPr>
            <w:r>
              <w:rPr>
                <w:rStyle w:val="15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8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公司金融导论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9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时间价值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10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风险与收益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11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投资评价与投资决策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12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期权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13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长期融资决策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14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股利政策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15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长期财务计划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16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短期融资管理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17</w:t>
            </w:r>
          </w:p>
        </w:tc>
        <w:tc>
          <w:tcPr>
            <w:tcW w:w="2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并购理论与实务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  <w:r>
              <w:rPr>
                <w:rStyle w:val="15"/>
                <w:sz w:val="24"/>
              </w:rPr>
              <w:t>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胡历芳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sz w:val="24"/>
              </w:rPr>
              <w:t>讲师</w:t>
            </w:r>
          </w:p>
        </w:tc>
        <w:tc>
          <w:tcPr>
            <w:tcW w:w="1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Style w:val="15"/>
          <w:rFonts w:ascii="宋体" w:hAnsi="宋体"/>
          <w:bCs w:val="0"/>
          <w:sz w:val="36"/>
          <w:szCs w:val="36"/>
        </w:rPr>
      </w:pPr>
      <w:bookmarkStart w:id="12" w:name="_Toc46067045"/>
      <w:r>
        <w:rPr>
          <w:rStyle w:val="15"/>
          <w:rFonts w:hint="eastAsia" w:ascii="宋体" w:hAnsi="宋体"/>
          <w:sz w:val="36"/>
          <w:szCs w:val="36"/>
        </w:rPr>
        <w:t>《</w:t>
      </w:r>
      <w:r>
        <w:rPr>
          <w:rStyle w:val="15"/>
          <w:sz w:val="36"/>
          <w:szCs w:val="36"/>
        </w:rPr>
        <w:t>养老金融及案例</w:t>
      </w:r>
      <w:r>
        <w:rPr>
          <w:rStyle w:val="15"/>
          <w:rFonts w:hint="eastAsia" w:ascii="宋体" w:hAnsi="宋体"/>
          <w:sz w:val="36"/>
          <w:szCs w:val="36"/>
        </w:rPr>
        <w:t>》</w:t>
      </w:r>
      <w:r>
        <w:rPr>
          <w:rStyle w:val="15"/>
          <w:rFonts w:ascii="宋体" w:hAnsi="宋体"/>
          <w:sz w:val="36"/>
          <w:szCs w:val="36"/>
        </w:rPr>
        <w:t>课程进度表</w:t>
      </w:r>
      <w:bookmarkEnd w:id="12"/>
    </w:p>
    <w:p>
      <w:pPr>
        <w:jc w:val="center"/>
        <w:textAlignment w:val="baseline"/>
        <w:rPr>
          <w:rStyle w:val="15"/>
          <w:sz w:val="28"/>
          <w:u w:val="single"/>
        </w:rPr>
      </w:pPr>
      <w:r>
        <w:rPr>
          <w:rStyle w:val="15"/>
          <w:rFonts w:eastAsia="黑体"/>
          <w:sz w:val="28"/>
        </w:rPr>
        <w:t>课程名称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eastAsia="楷体_GB2312"/>
          <w:sz w:val="28"/>
          <w:szCs w:val="28"/>
          <w:u w:val="single"/>
        </w:rPr>
        <w:t>养老金融及案例</w:t>
      </w:r>
      <w:r>
        <w:rPr>
          <w:rStyle w:val="15"/>
          <w:rFonts w:eastAsia="楷体_GB2312"/>
          <w:sz w:val="32"/>
          <w:szCs w:val="32"/>
          <w:u w:val="single"/>
        </w:rPr>
        <w:t xml:space="preserve"> </w:t>
      </w:r>
      <w:r>
        <w:rPr>
          <w:rStyle w:val="15"/>
          <w:rFonts w:eastAsia="黑体"/>
          <w:sz w:val="28"/>
        </w:rPr>
        <w:t>专 业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eastAsia="楷体_GB2312"/>
          <w:sz w:val="28"/>
          <w:szCs w:val="28"/>
          <w:u w:val="single"/>
        </w:rPr>
        <w:t>金融专硕</w:t>
      </w:r>
      <w:r>
        <w:rPr>
          <w:rStyle w:val="15"/>
          <w:sz w:val="28"/>
          <w:u w:val="single"/>
        </w:rPr>
        <w:t xml:space="preserve"> </w:t>
      </w:r>
      <w:r>
        <w:rPr>
          <w:rStyle w:val="15"/>
          <w:rFonts w:eastAsia="黑体"/>
          <w:sz w:val="28"/>
        </w:rPr>
        <w:t>年 级</w:t>
      </w:r>
      <w:r>
        <w:rPr>
          <w:rStyle w:val="15"/>
          <w:rFonts w:ascii="楷体_GB2312" w:eastAsia="楷体_GB2312"/>
          <w:sz w:val="28"/>
          <w:u w:val="single"/>
        </w:rPr>
        <w:t xml:space="preserve">2019级、2020级    </w:t>
      </w:r>
      <w:r>
        <w:rPr>
          <w:rStyle w:val="15"/>
          <w:sz w:val="28"/>
          <w:u w:val="single"/>
        </w:rPr>
        <w:t xml:space="preserve"> </w:t>
      </w:r>
    </w:p>
    <w:tbl>
      <w:tblPr>
        <w:tblStyle w:val="8"/>
        <w:tblW w:w="8603" w:type="dxa"/>
        <w:tblInd w:w="-8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3160"/>
        <w:gridCol w:w="1233"/>
        <w:gridCol w:w="1100"/>
        <w:gridCol w:w="1117"/>
        <w:gridCol w:w="11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0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周次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课 程 内 容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课时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授课人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职 称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b/>
                <w:bCs/>
                <w:sz w:val="24"/>
              </w:rPr>
            </w:pPr>
            <w:r>
              <w:rPr>
                <w:rStyle w:val="15"/>
                <w:rFonts w:ascii="宋体" w:hAnsi="宋体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1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养老金融导论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2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全生命周期</w:t>
            </w:r>
            <w:r>
              <w:rPr>
                <w:rStyle w:val="15"/>
                <w:rFonts w:ascii="宋体" w:hAnsi="宋体"/>
                <w:bCs/>
                <w:sz w:val="24"/>
              </w:rPr>
              <w:t>养老财富储备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3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养老金资产管理理论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养老金资产管理实践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5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养老产业金融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6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color w:val="00000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养老服务业与金融发展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7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baseline"/>
              <w:rPr>
                <w:rStyle w:val="15"/>
                <w:rFonts w:ascii="宋体" w:hAnsi="宋体"/>
                <w:kern w:val="0"/>
                <w:sz w:val="24"/>
              </w:rPr>
            </w:pPr>
            <w:r>
              <w:rPr>
                <w:rStyle w:val="15"/>
                <w:rFonts w:ascii="宋体" w:hAnsi="宋体"/>
                <w:color w:val="000000"/>
                <w:sz w:val="24"/>
              </w:rPr>
              <w:t>养老金融的法律保障机制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8</w:t>
            </w:r>
          </w:p>
        </w:tc>
        <w:tc>
          <w:tcPr>
            <w:tcW w:w="3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bCs/>
                <w:sz w:val="24"/>
              </w:rPr>
              <w:t>养老金融展望</w:t>
            </w: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</w:rPr>
            </w:pPr>
            <w:r>
              <w:rPr>
                <w:rStyle w:val="15"/>
                <w:rFonts w:ascii="宋体" w:hAnsi="宋体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胡继晔</w:t>
            </w:r>
          </w:p>
        </w:tc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教授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baseline"/>
              <w:rPr>
                <w:rStyle w:val="15"/>
                <w:rFonts w:ascii="宋体" w:hAnsi="宋体"/>
                <w:sz w:val="24"/>
              </w:rPr>
            </w:pPr>
            <w:r>
              <w:rPr>
                <w:rStyle w:val="15"/>
                <w:rFonts w:ascii="宋体" w:hAnsi="宋体"/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3" w:name="_Toc46067046"/>
      <w:r>
        <w:rPr>
          <w:rFonts w:hint="eastAsia"/>
        </w:rPr>
        <w:t>《</w:t>
      </w:r>
      <w:r>
        <w:rPr>
          <w:rStyle w:val="15"/>
          <w:rFonts w:ascii="楷体_GB2312"/>
          <w:sz w:val="36"/>
          <w:szCs w:val="36"/>
        </w:rPr>
        <w:t>金融计算软件与程序设计</w:t>
      </w:r>
      <w:r>
        <w:rPr>
          <w:rFonts w:hint="eastAsia"/>
        </w:rPr>
        <w:t>》课程进度表</w:t>
      </w:r>
      <w:bookmarkEnd w:id="13"/>
    </w:p>
    <w:p>
      <w:pPr>
        <w:spacing w:line="480" w:lineRule="auto"/>
        <w:rPr>
          <w:sz w:val="28"/>
          <w:u w:val="single"/>
        </w:rPr>
      </w:pPr>
      <w:r>
        <w:rPr>
          <w:rStyle w:val="15"/>
          <w:rFonts w:eastAsia="黑体"/>
          <w:sz w:val="24"/>
          <w:szCs w:val="22"/>
        </w:rPr>
        <w:t xml:space="preserve">课程名称 </w:t>
      </w:r>
      <w:r>
        <w:rPr>
          <w:rStyle w:val="15"/>
          <w:rFonts w:ascii="楷体_GB2312" w:eastAsia="楷体_GB2312"/>
          <w:sz w:val="24"/>
          <w:szCs w:val="22"/>
          <w:u w:val="single"/>
        </w:rPr>
        <w:t>金融计算软件与程序设计</w:t>
      </w:r>
      <w:r>
        <w:rPr>
          <w:rStyle w:val="15"/>
          <w:rFonts w:eastAsia="楷体_GB2312"/>
          <w:sz w:val="28"/>
          <w:szCs w:val="28"/>
          <w:u w:val="single"/>
        </w:rPr>
        <w:t xml:space="preserve"> </w:t>
      </w:r>
      <w:r>
        <w:rPr>
          <w:rStyle w:val="15"/>
          <w:rFonts w:eastAsia="黑体"/>
          <w:sz w:val="24"/>
          <w:szCs w:val="22"/>
        </w:rPr>
        <w:t>专 业</w:t>
      </w:r>
      <w:r>
        <w:rPr>
          <w:rStyle w:val="15"/>
          <w:sz w:val="24"/>
          <w:szCs w:val="22"/>
          <w:u w:val="single"/>
        </w:rPr>
        <w:t xml:space="preserve"> </w:t>
      </w:r>
      <w:r>
        <w:rPr>
          <w:rStyle w:val="15"/>
          <w:rFonts w:eastAsia="楷体_GB2312"/>
          <w:sz w:val="24"/>
          <w:u w:val="single"/>
        </w:rPr>
        <w:t xml:space="preserve">金融专硕 </w:t>
      </w:r>
      <w:r>
        <w:rPr>
          <w:rStyle w:val="15"/>
          <w:rFonts w:eastAsia="黑体"/>
          <w:sz w:val="24"/>
          <w:szCs w:val="22"/>
        </w:rPr>
        <w:t xml:space="preserve">年 级  </w:t>
      </w:r>
      <w:r>
        <w:rPr>
          <w:rStyle w:val="15"/>
          <w:rFonts w:ascii="楷体_GB2312" w:eastAsia="楷体_GB2312"/>
          <w:sz w:val="24"/>
          <w:szCs w:val="22"/>
          <w:u w:val="single"/>
        </w:rPr>
        <w:t xml:space="preserve">2019级、2020级 </w:t>
      </w:r>
      <w:r>
        <w:rPr>
          <w:rFonts w:hint="eastAsia" w:ascii="楷体_GB2312" w:eastAsia="楷体_GB2312"/>
          <w:sz w:val="24"/>
          <w:szCs w:val="22"/>
          <w:u w:val="single"/>
        </w:rPr>
        <w:t xml:space="preserve"> </w:t>
      </w:r>
      <w:r>
        <w:rPr>
          <w:rFonts w:hint="eastAsia" w:ascii="楷体_GB2312" w:eastAsia="楷体_GB2312"/>
          <w:sz w:val="28"/>
          <w:u w:val="single"/>
        </w:rPr>
        <w:t xml:space="preserve">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76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数据类型与基本运算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顺序语句与选择语句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循环语句语法与应用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循环应用实例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列表、字典与数组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复杂数据结构应用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函数和函数参数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Style w:val="15"/>
                <w:rFonts w:hint="eastAsia" w:asciiTheme="minorEastAsia" w:hAnsiTheme="minorEastAsia" w:eastAsiaTheme="minorEastAsia" w:cstheme="minorEastAsia"/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函数的调用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textAlignment w:val="baseline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9</w:t>
            </w:r>
          </w:p>
        </w:tc>
        <w:tc>
          <w:tcPr>
            <w:tcW w:w="2688" w:type="dxa"/>
            <w:vAlign w:val="center"/>
          </w:tcPr>
          <w:p>
            <w:pPr>
              <w:spacing w:before="40" w:after="4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数据库连接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李大夜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讲师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4" w:name="_Toc46067047"/>
      <w:r>
        <w:rPr>
          <w:rFonts w:hint="eastAsia"/>
        </w:rPr>
        <w:t>《</w:t>
      </w:r>
      <w:r>
        <w:rPr>
          <w:rStyle w:val="15"/>
          <w:rFonts w:hint="eastAsia" w:ascii="Kaiti SC" w:hAnsi="Kaiti SC" w:cs="Kaiti SC"/>
          <w:bCs w:val="0"/>
          <w:sz w:val="36"/>
          <w:szCs w:val="36"/>
        </w:rPr>
        <w:t>证券投资学</w:t>
      </w:r>
      <w:r>
        <w:rPr>
          <w:rFonts w:hint="eastAsia"/>
        </w:rPr>
        <w:t>》课程进度表</w:t>
      </w:r>
      <w:bookmarkEnd w:id="14"/>
    </w:p>
    <w:p>
      <w:pPr>
        <w:spacing w:line="480" w:lineRule="auto"/>
        <w:rPr>
          <w:sz w:val="28"/>
          <w:u w:val="single"/>
        </w:rPr>
      </w:pPr>
      <w:r>
        <w:rPr>
          <w:rStyle w:val="15"/>
          <w:rFonts w:hint="eastAsia" w:eastAsia="黑体"/>
          <w:sz w:val="28"/>
        </w:rPr>
        <w:t xml:space="preserve">课程名称 </w:t>
      </w:r>
      <w:r>
        <w:rPr>
          <w:rStyle w:val="15"/>
          <w:rFonts w:hint="eastAsia" w:ascii="Kaiti SC" w:hAnsi="Kaiti SC" w:eastAsia="Kaiti SC" w:cs="Kaiti SC"/>
          <w:sz w:val="28"/>
          <w:u w:val="single"/>
        </w:rPr>
        <w:t xml:space="preserve">证券投资学  </w:t>
      </w:r>
      <w:r>
        <w:rPr>
          <w:rStyle w:val="15"/>
          <w:rFonts w:hint="eastAsia" w:eastAsia="黑体"/>
          <w:sz w:val="28"/>
        </w:rPr>
        <w:t xml:space="preserve"> </w:t>
      </w:r>
      <w:r>
        <w:rPr>
          <w:rStyle w:val="15"/>
          <w:rFonts w:eastAsia="黑体"/>
          <w:sz w:val="28"/>
        </w:rPr>
        <w:t xml:space="preserve">   </w:t>
      </w:r>
      <w:r>
        <w:rPr>
          <w:rStyle w:val="15"/>
          <w:rFonts w:hint="eastAsia" w:eastAsia="黑体"/>
          <w:sz w:val="28"/>
        </w:rPr>
        <w:t xml:space="preserve">专 业 </w:t>
      </w:r>
      <w:r>
        <w:rPr>
          <w:rStyle w:val="15"/>
          <w:rFonts w:hint="eastAsia" w:ascii="Kaiti SC" w:hAnsi="Kaiti SC" w:eastAsia="Kaiti SC" w:cs="Kaiti SC"/>
          <w:sz w:val="28"/>
          <w:u w:val="single"/>
        </w:rPr>
        <w:t>金融专硕</w:t>
      </w:r>
      <w:r>
        <w:rPr>
          <w:rStyle w:val="15"/>
          <w:rFonts w:hint="eastAsia" w:eastAsia="黑体"/>
          <w:sz w:val="28"/>
        </w:rPr>
        <w:t xml:space="preserve">  </w:t>
      </w:r>
      <w:r>
        <w:rPr>
          <w:rStyle w:val="15"/>
          <w:rFonts w:eastAsia="黑体"/>
          <w:sz w:val="28"/>
        </w:rPr>
        <w:t xml:space="preserve">   </w:t>
      </w:r>
      <w:r>
        <w:rPr>
          <w:rStyle w:val="15"/>
          <w:rFonts w:hint="eastAsia" w:eastAsia="黑体"/>
          <w:sz w:val="28"/>
        </w:rPr>
        <w:t>年 级</w:t>
      </w:r>
      <w:r>
        <w:rPr>
          <w:rStyle w:val="15"/>
          <w:rFonts w:eastAsia="黑体"/>
          <w:sz w:val="28"/>
        </w:rPr>
        <w:t xml:space="preserve">   </w:t>
      </w:r>
      <w:r>
        <w:rPr>
          <w:rStyle w:val="15"/>
          <w:rFonts w:hint="eastAsia" w:eastAsia="黑体"/>
          <w:sz w:val="28"/>
          <w:u w:val="single"/>
        </w:rPr>
        <w:t>2</w:t>
      </w:r>
      <w:r>
        <w:rPr>
          <w:rStyle w:val="15"/>
          <w:rFonts w:eastAsia="黑体"/>
          <w:sz w:val="28"/>
          <w:u w:val="single"/>
        </w:rPr>
        <w:t>020级</w:t>
      </w:r>
      <w:r>
        <w:rPr>
          <w:rStyle w:val="15"/>
          <w:rFonts w:hint="eastAsia" w:eastAsia="黑体"/>
          <w:sz w:val="28"/>
        </w:rPr>
        <w:t xml:space="preserve">       </w:t>
      </w:r>
      <w:r>
        <w:rPr>
          <w:rFonts w:hint="eastAsia" w:ascii="楷体_GB2312" w:eastAsia="楷体_GB2312"/>
          <w:sz w:val="28"/>
          <w:u w:val="single"/>
        </w:rPr>
        <w:t xml:space="preserve">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74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投资基本概念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-</w:t>
            </w:r>
            <w:r>
              <w:rPr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资本市场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5-</w:t>
            </w:r>
            <w:r>
              <w:rPr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资产组合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7-</w:t>
            </w:r>
            <w:r>
              <w:rPr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资产定价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9-</w:t>
            </w:r>
            <w:r>
              <w:rPr>
                <w:sz w:val="24"/>
              </w:rPr>
              <w:t>10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风险专题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-</w:t>
            </w:r>
            <w:r>
              <w:rPr>
                <w:sz w:val="24"/>
              </w:rPr>
              <w:t>12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投资策略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投资与宏观经济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李伯尧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5" w:name="_Toc46067048"/>
      <w:r>
        <w:rPr>
          <w:rFonts w:hint="eastAsia"/>
        </w:rPr>
        <w:t>《金融学》课程进度表</w:t>
      </w:r>
      <w:bookmarkEnd w:id="15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</w:t>
      </w:r>
      <w:r>
        <w:rPr>
          <w:rFonts w:eastAsia="楷体_GB2312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金融学   </w:t>
      </w:r>
      <w:r>
        <w:rPr>
          <w:rFonts w:eastAsia="楷体_GB2312"/>
          <w:sz w:val="28"/>
          <w:u w:val="single"/>
        </w:rPr>
        <w:t xml:space="preserve"> 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 </w:t>
      </w:r>
      <w:r>
        <w:rPr>
          <w:rFonts w:hint="eastAsia" w:eastAsia="楷体_GB2312"/>
          <w:sz w:val="28"/>
          <w:u w:val="single"/>
        </w:rPr>
        <w:t>金融专硕</w:t>
      </w:r>
      <w:r>
        <w:rPr>
          <w:rFonts w:hint="eastAsia"/>
          <w:sz w:val="28"/>
          <w:u w:val="single"/>
        </w:rPr>
        <w:t xml:space="preserve">   </w:t>
      </w:r>
      <w:r>
        <w:rPr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ascii="楷体_GB2312" w:eastAsia="楷体_GB2312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2020</w:t>
      </w:r>
      <w:r>
        <w:rPr>
          <w:rFonts w:eastAsia="楷体_GB2312"/>
          <w:sz w:val="28"/>
          <w:u w:val="single"/>
        </w:rPr>
        <w:t>级</w:t>
      </w:r>
      <w:r>
        <w:rPr>
          <w:rFonts w:hint="eastAsia" w:ascii="楷体_GB2312" w:eastAsia="楷体_GB2312"/>
          <w:sz w:val="28"/>
          <w:u w:val="single"/>
        </w:rPr>
        <w:t xml:space="preserve">    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导论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货币理论专题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金融中介机构专题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</w:rPr>
              <w:t>中央银行与货币政策专题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互联网金融和金融科技（Fin</w:t>
            </w:r>
            <w:r>
              <w:rPr>
                <w:sz w:val="24"/>
                <w:lang w:val="en-GB"/>
              </w:rPr>
              <w:t>Tech</w:t>
            </w:r>
            <w:r>
              <w:rPr>
                <w:rFonts w:hint="eastAsia"/>
                <w:sz w:val="24"/>
                <w:lang w:val="en-GB"/>
              </w:rPr>
              <w:t>）专题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金融市场的运行机制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金融风险监管和管理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课程结课研讨和总结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课程考核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陈芑名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rPr>
          <w:b/>
          <w:bCs/>
          <w:sz w:val="24"/>
        </w:r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6" w:name="_Toc46067049"/>
      <w:r>
        <w:rPr>
          <w:rFonts w:hint="eastAsia"/>
        </w:rPr>
        <w:t>《统计与计量经济学（英文）》课程进度表</w:t>
      </w:r>
      <w:bookmarkEnd w:id="16"/>
    </w:p>
    <w:p>
      <w:pPr>
        <w:rPr>
          <w:rFonts w:eastAsia="楷体_GB2312"/>
          <w:sz w:val="24"/>
          <w:szCs w:val="22"/>
          <w:u w:val="single"/>
        </w:rPr>
      </w:pPr>
      <w:r>
        <w:rPr>
          <w:rFonts w:hint="eastAsia" w:eastAsia="黑体"/>
          <w:sz w:val="22"/>
          <w:szCs w:val="21"/>
        </w:rPr>
        <w:t>课程名称</w:t>
      </w:r>
      <w:r>
        <w:rPr>
          <w:rFonts w:hint="eastAsia" w:eastAsia="楷体_GB2312"/>
          <w:sz w:val="22"/>
          <w:szCs w:val="21"/>
          <w:u w:val="single"/>
        </w:rPr>
        <w:t xml:space="preserve"> 统计与计量经济学（英文）</w:t>
      </w:r>
      <w:r>
        <w:rPr>
          <w:rFonts w:hint="eastAsia" w:ascii="Kaiti SC Bold" w:hAnsi="Kaiti SC Bold" w:eastAsia="Kaiti SC Bold" w:cs="Kaiti SC Bold"/>
          <w:b/>
          <w:bCs/>
          <w:sz w:val="22"/>
          <w:szCs w:val="21"/>
        </w:rPr>
        <w:t>专 业</w:t>
      </w:r>
      <w:r>
        <w:rPr>
          <w:rFonts w:hint="eastAsia"/>
          <w:sz w:val="22"/>
          <w:szCs w:val="21"/>
          <w:u w:val="single"/>
        </w:rPr>
        <w:t xml:space="preserve"> </w:t>
      </w:r>
      <w:r>
        <w:rPr>
          <w:rFonts w:eastAsia="楷体_GB2312"/>
          <w:sz w:val="22"/>
          <w:szCs w:val="21"/>
          <w:u w:val="single"/>
        </w:rPr>
        <w:t>商学院专硕、学硕</w:t>
      </w:r>
      <w:r>
        <w:rPr>
          <w:rFonts w:hint="eastAsia"/>
          <w:sz w:val="22"/>
          <w:szCs w:val="21"/>
          <w:u w:val="single"/>
        </w:rPr>
        <w:t xml:space="preserve"> </w:t>
      </w:r>
      <w:r>
        <w:rPr>
          <w:rFonts w:hint="eastAsia" w:eastAsia="黑体"/>
          <w:sz w:val="22"/>
          <w:szCs w:val="21"/>
        </w:rPr>
        <w:t>年 级</w:t>
      </w:r>
      <w:r>
        <w:rPr>
          <w:rFonts w:hint="eastAsia" w:eastAsia="楷体_GB2312"/>
          <w:sz w:val="22"/>
          <w:szCs w:val="21"/>
          <w:u w:val="single"/>
        </w:rPr>
        <w:t xml:space="preserve">19、20级    </w:t>
      </w:r>
      <w:r>
        <w:rPr>
          <w:rFonts w:hint="eastAsia" w:eastAsia="楷体_GB2312"/>
          <w:sz w:val="24"/>
          <w:szCs w:val="22"/>
          <w:u w:val="single"/>
        </w:rPr>
        <w:t xml:space="preserve">      </w:t>
      </w:r>
    </w:p>
    <w:tbl>
      <w:tblPr>
        <w:tblStyle w:val="8"/>
        <w:tblW w:w="8717" w:type="dxa"/>
        <w:tblInd w:w="-1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3250"/>
        <w:gridCol w:w="933"/>
        <w:gridCol w:w="1100"/>
        <w:gridCol w:w="1167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1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325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93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10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1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35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Introduction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statisticsand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econometrics,including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basic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concepts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of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statistics,there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lationship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between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statisticsand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econometrics.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linearregression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model,including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concepts,assumption,datageneratingprocess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for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there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gressorsand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hypothesistesting.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Theclassicalmultiplelinearregressionmodel,includingbasicconcepts,estimationandinference.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Leastsquares,includingtheleastsquarecoefficientvector,partitionedandpartialregression,theadjustedR-Squaredandmeasureoffit.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Finite-samplepropertiesoftheleastsquaresestimators,includingmotivatingleastsquares,unbiasedestimation,theGaussMarkovtheoremandtheimplicationsofstochasticregressors.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Large-samplepropertiesoftheleastsquaresandinstrumentalvariableestimators,includingasymptoticpropertiesoftheleastsquaresestimator,instrumentalvariableandtwostageleastsquares,Hausman</w:t>
            </w:r>
            <w:r>
              <w:rPr>
                <w:sz w:val="24"/>
              </w:rPr>
              <w:t>’</w:t>
            </w:r>
            <w:r>
              <w:rPr>
                <w:rFonts w:hint="eastAsia"/>
                <w:sz w:val="24"/>
              </w:rPr>
              <w:t>sspecificationtestandmeasurementerror.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Inferenceandprediction,includingrestrictionsandnestedmodels,Fstatisticsandtheleastsquaresdiscrepancy,therestrictedleastsquaresestimator,nonnormaldisturbancesandlargesampletests.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Functionalformandstructuralchange,includinghowtousebinaryvariable,nonlinearityinthevariables,modelingandtestingforastructuralbreak,testsofmodelstability.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Specificationanalysisandmodelselection,includingspecificationanalysisandmodelbuilding,choosingbetweennonnestedmodels,modelselectioncriteria.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Nonlinearregressionmodels,includingassumptionsofthenonlinearregressionmodel,applicationsofnonlinearregression,hypothesistestingandparametricrestrictions,alternativeestimatorsfornonlinearregressionmodels.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Nonsphericaldisturbances,includingleastsquaresandinstrumentalvariablesestimation,robustestimationofasymptoticcovariancematricesmgeneralizedmethodofmomentsestimation,maximumlikelihoodestimation.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3250" w:type="dxa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Reviewthekeyknowledgeofthecourseandpreparefortheexamingpr.</w:t>
            </w:r>
          </w:p>
        </w:tc>
        <w:tc>
          <w:tcPr>
            <w:tcW w:w="93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10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丛颖男</w:t>
            </w:r>
          </w:p>
        </w:tc>
        <w:tc>
          <w:tcPr>
            <w:tcW w:w="11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7" w:name="_Toc46067050"/>
      <w:r>
        <w:rPr>
          <w:rFonts w:hint="eastAsia"/>
        </w:rPr>
        <w:t>《</w:t>
      </w:r>
      <w:r>
        <w:rPr>
          <w:rFonts w:hint="eastAsia" w:ascii="Kaiti SC Regular" w:hAnsi="Kaiti SC Regular" w:cs="Kaiti SC Regular"/>
        </w:rPr>
        <w:t>投资分析与决策</w:t>
      </w:r>
      <w:r>
        <w:rPr>
          <w:rFonts w:hint="eastAsia"/>
        </w:rPr>
        <w:t>》课程进度表</w:t>
      </w:r>
      <w:bookmarkEnd w:id="17"/>
    </w:p>
    <w:p>
      <w:pPr>
        <w:spacing w:line="480" w:lineRule="auto"/>
        <w:ind w:firstLine="240" w:firstLineChars="100"/>
        <w:rPr>
          <w:sz w:val="28"/>
          <w:u w:val="single"/>
        </w:rPr>
      </w:pPr>
      <w:r>
        <w:rPr>
          <w:rFonts w:hint="eastAsia" w:eastAsia="黑体"/>
          <w:sz w:val="24"/>
          <w:szCs w:val="22"/>
        </w:rPr>
        <w:t xml:space="preserve">课程名称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>投资分析与决策</w:t>
      </w:r>
      <w:r>
        <w:rPr>
          <w:rFonts w:hint="eastAsia" w:eastAsia="黑体"/>
          <w:sz w:val="24"/>
          <w:szCs w:val="22"/>
          <w:u w:val="single"/>
        </w:rPr>
        <w:t xml:space="preserve"> </w:t>
      </w:r>
      <w:r>
        <w:rPr>
          <w:rFonts w:hint="eastAsia" w:eastAsia="黑体"/>
          <w:sz w:val="24"/>
          <w:szCs w:val="22"/>
        </w:rPr>
        <w:t xml:space="preserve">  </w:t>
      </w:r>
      <w:r>
        <w:rPr>
          <w:rFonts w:eastAsia="黑体"/>
          <w:sz w:val="24"/>
          <w:szCs w:val="22"/>
        </w:rPr>
        <w:t xml:space="preserve">    </w:t>
      </w:r>
      <w:r>
        <w:rPr>
          <w:rFonts w:hint="eastAsia" w:eastAsia="黑体"/>
          <w:sz w:val="24"/>
          <w:szCs w:val="22"/>
        </w:rPr>
        <w:t xml:space="preserve">专 业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金融专硕 </w:t>
      </w:r>
      <w:r>
        <w:rPr>
          <w:rFonts w:hint="eastAsia" w:eastAsia="黑体"/>
          <w:sz w:val="24"/>
          <w:szCs w:val="22"/>
        </w:rPr>
        <w:t xml:space="preserve"> </w:t>
      </w:r>
      <w:r>
        <w:rPr>
          <w:rFonts w:eastAsia="黑体"/>
          <w:sz w:val="24"/>
          <w:szCs w:val="22"/>
        </w:rPr>
        <w:t xml:space="preserve">      </w:t>
      </w:r>
      <w:r>
        <w:rPr>
          <w:rFonts w:hint="eastAsia" w:eastAsia="黑体"/>
          <w:sz w:val="24"/>
          <w:szCs w:val="22"/>
        </w:rPr>
        <w:t>年 级</w:t>
      </w:r>
      <w:r>
        <w:rPr>
          <w:rFonts w:eastAsia="黑体"/>
          <w:sz w:val="24"/>
          <w:szCs w:val="22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19、20级  </w:t>
      </w:r>
      <w:r>
        <w:rPr>
          <w:rFonts w:hint="eastAsia" w:eastAsia="黑体"/>
          <w:sz w:val="24"/>
          <w:szCs w:val="22"/>
        </w:rPr>
        <w:t xml:space="preserve">  </w:t>
      </w:r>
      <w:r>
        <w:rPr>
          <w:rStyle w:val="15"/>
          <w:rFonts w:hint="eastAsia" w:eastAsia="黑体"/>
          <w:sz w:val="28"/>
        </w:rPr>
        <w:t xml:space="preserve">   </w:t>
      </w:r>
      <w:r>
        <w:rPr>
          <w:rFonts w:hint="eastAsia" w:ascii="楷体_GB2312" w:eastAsia="楷体_GB2312"/>
          <w:sz w:val="28"/>
          <w:u w:val="single"/>
        </w:rPr>
        <w:t xml:space="preserve">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1364"/>
        <w:gridCol w:w="960"/>
        <w:gridCol w:w="958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13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96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95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74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r>
              <w:t>Capital budgeting (NPV, DCF, EVA)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四课时/天，一共四天</w:t>
            </w: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宋见林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张政</w:t>
            </w: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校外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导师</w:t>
            </w: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r>
              <w:t>Private equity, venture capital and cases I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r>
              <w:t>Business and market cycles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r>
              <w:t>Public equity markets and cases I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r>
              <w:t>Private equity, venture capital and cases II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t>Public equity markets and cases II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t>Global asset optimization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t>Leveraged buyouts (debts financing)</w:t>
            </w:r>
          </w:p>
        </w:tc>
        <w:tc>
          <w:tcPr>
            <w:tcW w:w="1364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8" w:name="_Toc46067051"/>
      <w:r>
        <w:rPr>
          <w:rFonts w:hint="eastAsia"/>
        </w:rPr>
        <w:t>《</w:t>
      </w:r>
      <w:r>
        <w:rPr>
          <w:rFonts w:ascii="Kaiti SC Regular" w:hAnsi="Kaiti SC Regular" w:cs="Kaiti SC Regular"/>
        </w:rPr>
        <w:t>金融理论与政策</w:t>
      </w:r>
      <w:r>
        <w:rPr>
          <w:rFonts w:hint="eastAsia"/>
        </w:rPr>
        <w:t>》课程进度表</w:t>
      </w:r>
      <w:bookmarkEnd w:id="18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4"/>
          <w:szCs w:val="22"/>
        </w:rPr>
        <w:t xml:space="preserve">课程名称 </w:t>
      </w:r>
      <w:r>
        <w:rPr>
          <w:rFonts w:ascii="Kaiti SC Regular" w:hAnsi="Kaiti SC Regular" w:eastAsia="Kaiti SC Regular" w:cs="Kaiti SC Regular"/>
          <w:sz w:val="24"/>
          <w:szCs w:val="22"/>
          <w:u w:val="single"/>
        </w:rPr>
        <w:t>金融理论与政策</w:t>
      </w:r>
      <w:r>
        <w:rPr>
          <w:rFonts w:hint="eastAsia" w:eastAsia="黑体"/>
          <w:sz w:val="24"/>
          <w:szCs w:val="22"/>
          <w:u w:val="single"/>
        </w:rPr>
        <w:t xml:space="preserve"> </w:t>
      </w:r>
      <w:r>
        <w:rPr>
          <w:rFonts w:hint="eastAsia" w:eastAsia="黑体"/>
          <w:sz w:val="24"/>
          <w:szCs w:val="22"/>
        </w:rPr>
        <w:t xml:space="preserve">  </w:t>
      </w:r>
      <w:r>
        <w:rPr>
          <w:rFonts w:eastAsia="黑体"/>
          <w:sz w:val="24"/>
          <w:szCs w:val="22"/>
        </w:rPr>
        <w:t xml:space="preserve">    </w:t>
      </w:r>
      <w:r>
        <w:rPr>
          <w:rFonts w:hint="eastAsia" w:eastAsia="黑体"/>
          <w:sz w:val="24"/>
          <w:szCs w:val="22"/>
        </w:rPr>
        <w:t xml:space="preserve">专 业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金融专硕 </w:t>
      </w:r>
      <w:r>
        <w:rPr>
          <w:rFonts w:hint="eastAsia" w:eastAsia="黑体"/>
          <w:sz w:val="24"/>
          <w:szCs w:val="22"/>
        </w:rPr>
        <w:t xml:space="preserve"> </w:t>
      </w:r>
      <w:r>
        <w:rPr>
          <w:rFonts w:eastAsia="黑体"/>
          <w:sz w:val="24"/>
          <w:szCs w:val="22"/>
        </w:rPr>
        <w:t xml:space="preserve">    </w:t>
      </w:r>
      <w:r>
        <w:rPr>
          <w:rFonts w:hint="eastAsia" w:eastAsia="黑体"/>
          <w:sz w:val="24"/>
          <w:szCs w:val="22"/>
        </w:rPr>
        <w:t>年 级</w:t>
      </w:r>
      <w:r>
        <w:rPr>
          <w:rFonts w:eastAsia="黑体"/>
          <w:sz w:val="24"/>
          <w:szCs w:val="22"/>
        </w:rPr>
        <w:t xml:space="preserve">  </w:t>
      </w:r>
      <w:r>
        <w:rPr>
          <w:rFonts w:eastAsia="黑体"/>
          <w:sz w:val="24"/>
          <w:szCs w:val="22"/>
          <w:u w:val="single"/>
        </w:rPr>
        <w:t>2019、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2020级  </w:t>
      </w:r>
      <w:r>
        <w:rPr>
          <w:rFonts w:hint="eastAsia" w:eastAsia="黑体"/>
          <w:sz w:val="24"/>
          <w:szCs w:val="22"/>
        </w:rPr>
        <w:t xml:space="preserve">  </w:t>
      </w:r>
      <w:r>
        <w:rPr>
          <w:rStyle w:val="15"/>
          <w:rFonts w:hint="eastAsia" w:eastAsia="黑体"/>
          <w:sz w:val="28"/>
        </w:rPr>
        <w:t xml:space="preserve">   </w:t>
      </w:r>
      <w:r>
        <w:rPr>
          <w:rFonts w:hint="eastAsia" w:ascii="楷体_GB2312" w:eastAsia="楷体_GB2312"/>
          <w:sz w:val="28"/>
          <w:u w:val="single"/>
        </w:rPr>
        <w:t xml:space="preserve">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74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19" w:name="_Toc46067052"/>
      <w:r>
        <w:rPr>
          <w:rFonts w:hint="eastAsia"/>
        </w:rPr>
        <w:t>《</w:t>
      </w:r>
      <w:r>
        <w:rPr>
          <w:rFonts w:ascii="Kaiti SC Regular" w:hAnsi="Kaiti SC Regular" w:cs="Kaiti SC Regular"/>
        </w:rPr>
        <w:t>数量分析与金融市场</w:t>
      </w:r>
      <w:r>
        <w:rPr>
          <w:rFonts w:hint="eastAsia"/>
        </w:rPr>
        <w:t xml:space="preserve"> 》课程进度表</w:t>
      </w:r>
      <w:bookmarkEnd w:id="19"/>
    </w:p>
    <w:p>
      <w:pPr>
        <w:spacing w:line="480" w:lineRule="auto"/>
        <w:rPr>
          <w:rFonts w:eastAsia="黑体"/>
          <w:sz w:val="24"/>
          <w:szCs w:val="22"/>
        </w:rPr>
      </w:pPr>
      <w:r>
        <w:rPr>
          <w:rFonts w:hint="eastAsia" w:eastAsia="黑体"/>
          <w:sz w:val="24"/>
          <w:szCs w:val="22"/>
        </w:rPr>
        <w:t xml:space="preserve">课程名称 </w:t>
      </w:r>
      <w:r>
        <w:rPr>
          <w:rFonts w:ascii="Kaiti SC Regular" w:hAnsi="Kaiti SC Regular" w:eastAsia="Kaiti SC Regular" w:cs="Kaiti SC Regular"/>
          <w:sz w:val="24"/>
          <w:szCs w:val="22"/>
          <w:u w:val="single"/>
        </w:rPr>
        <w:t>数量分析与金融市场</w:t>
      </w:r>
      <w:r>
        <w:rPr>
          <w:rFonts w:hint="eastAsia" w:eastAsia="黑体"/>
          <w:sz w:val="24"/>
          <w:szCs w:val="22"/>
          <w:u w:val="single"/>
        </w:rPr>
        <w:t xml:space="preserve"> </w:t>
      </w:r>
      <w:r>
        <w:rPr>
          <w:rFonts w:hint="eastAsia" w:eastAsia="黑体"/>
          <w:sz w:val="24"/>
          <w:szCs w:val="22"/>
        </w:rPr>
        <w:t xml:space="preserve">  </w:t>
      </w:r>
      <w:r>
        <w:rPr>
          <w:rFonts w:eastAsia="黑体"/>
          <w:sz w:val="24"/>
          <w:szCs w:val="22"/>
        </w:rPr>
        <w:t xml:space="preserve">  </w:t>
      </w:r>
      <w:r>
        <w:rPr>
          <w:rFonts w:hint="eastAsia" w:eastAsia="黑体"/>
          <w:sz w:val="24"/>
          <w:szCs w:val="22"/>
        </w:rPr>
        <w:t xml:space="preserve">专 业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>专硕</w:t>
      </w:r>
      <w:r>
        <w:rPr>
          <w:rFonts w:ascii="Kaiti SC Regular" w:hAnsi="Kaiti SC Regular" w:eastAsia="Kaiti SC Regular" w:cs="Kaiti SC Regular"/>
          <w:sz w:val="24"/>
          <w:szCs w:val="22"/>
          <w:u w:val="single"/>
        </w:rPr>
        <w:t>、学硕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 </w:t>
      </w:r>
      <w:r>
        <w:rPr>
          <w:rFonts w:hint="eastAsia" w:eastAsia="黑体"/>
          <w:sz w:val="24"/>
          <w:szCs w:val="22"/>
        </w:rPr>
        <w:t xml:space="preserve"> </w:t>
      </w:r>
      <w:r>
        <w:rPr>
          <w:rFonts w:eastAsia="黑体"/>
          <w:sz w:val="24"/>
          <w:szCs w:val="22"/>
        </w:rPr>
        <w:t xml:space="preserve">  </w:t>
      </w:r>
      <w:r>
        <w:rPr>
          <w:rFonts w:hint="eastAsia" w:eastAsia="黑体"/>
          <w:sz w:val="24"/>
          <w:szCs w:val="22"/>
        </w:rPr>
        <w:t>年 级</w:t>
      </w:r>
      <w:r>
        <w:rPr>
          <w:rFonts w:eastAsia="黑体"/>
          <w:sz w:val="24"/>
          <w:szCs w:val="22"/>
        </w:rPr>
        <w:t xml:space="preserve"> </w:t>
      </w:r>
      <w:r>
        <w:rPr>
          <w:rFonts w:hint="eastAsia" w:eastAsia="黑体"/>
          <w:sz w:val="24"/>
          <w:szCs w:val="22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22"/>
          <w:u w:val="single"/>
        </w:rPr>
        <w:t xml:space="preserve">19、20级 </w:t>
      </w:r>
      <w:r>
        <w:rPr>
          <w:rFonts w:hint="eastAsia" w:eastAsia="黑体"/>
          <w:sz w:val="24"/>
          <w:szCs w:val="22"/>
        </w:rPr>
        <w:t xml:space="preserve">  </w:t>
      </w:r>
    </w:p>
    <w:p>
      <w:pPr>
        <w:spacing w:line="480" w:lineRule="auto"/>
        <w:rPr>
          <w:sz w:val="28"/>
          <w:u w:val="single"/>
        </w:rPr>
      </w:pPr>
      <w:r>
        <w:rPr>
          <w:rStyle w:val="15"/>
          <w:rFonts w:hint="eastAsia" w:eastAsia="黑体"/>
          <w:sz w:val="28"/>
        </w:rPr>
        <w:t xml:space="preserve">   </w:t>
      </w:r>
      <w:r>
        <w:rPr>
          <w:rFonts w:hint="eastAsia" w:ascii="楷体_GB2312" w:eastAsia="楷体_GB2312"/>
          <w:sz w:val="28"/>
          <w:u w:val="single"/>
        </w:rPr>
        <w:t xml:space="preserve">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1297"/>
        <w:gridCol w:w="947"/>
        <w:gridCol w:w="1038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12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947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03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74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numPr>
                <w:ilvl w:val="0"/>
                <w:numId w:val="3"/>
              </w:numPr>
            </w:pPr>
            <w:r>
              <w:t>Is market efficient?</w:t>
            </w:r>
          </w:p>
          <w:p>
            <w:pPr>
              <w:numPr>
                <w:ilvl w:val="0"/>
                <w:numId w:val="3"/>
              </w:numPr>
            </w:pPr>
            <w:r>
              <w:t>Statistics fundamentals (physics and mathematics on Wall Street)</w:t>
            </w:r>
          </w:p>
          <w:p>
            <w:pPr>
              <w:numPr>
                <w:ilvl w:val="0"/>
                <w:numId w:val="3"/>
              </w:numPr>
            </w:pPr>
            <w:r>
              <w:t>Portfolio theory</w:t>
            </w:r>
          </w:p>
          <w:p>
            <w:pPr>
              <w:numPr>
                <w:ilvl w:val="0"/>
                <w:numId w:val="3"/>
              </w:numPr>
            </w:pPr>
            <w:r>
              <w:t>Asset allocation</w:t>
            </w:r>
          </w:p>
          <w:p>
            <w:pPr>
              <w:numPr>
                <w:ilvl w:val="0"/>
                <w:numId w:val="3"/>
              </w:numPr>
            </w:pPr>
            <w:r>
              <w:t>CAPM (asset pricing model)</w:t>
            </w:r>
          </w:p>
          <w:p>
            <w:pPr>
              <w:numPr>
                <w:ilvl w:val="0"/>
                <w:numId w:val="3"/>
              </w:numPr>
            </w:pPr>
            <w:r>
              <w:t>Return attribution and stock picking</w:t>
            </w:r>
          </w:p>
        </w:tc>
        <w:tc>
          <w:tcPr>
            <w:tcW w:w="1297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四课时/天，一共六天</w:t>
            </w:r>
          </w:p>
        </w:tc>
        <w:tc>
          <w:tcPr>
            <w:tcW w:w="947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宋见林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张政</w:t>
            </w:r>
          </w:p>
        </w:tc>
        <w:tc>
          <w:tcPr>
            <w:tcW w:w="103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校外</w:t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导师</w:t>
            </w: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numPr>
                <w:ilvl w:val="0"/>
                <w:numId w:val="4"/>
              </w:numPr>
            </w:pPr>
            <w:r>
              <w:t xml:space="preserve">Options and futures </w:t>
            </w:r>
          </w:p>
          <w:p>
            <w:pPr>
              <w:numPr>
                <w:ilvl w:val="0"/>
                <w:numId w:val="4"/>
              </w:numPr>
            </w:pPr>
            <w:r>
              <w:t>Hedging</w:t>
            </w:r>
          </w:p>
          <w:p>
            <w:pPr>
              <w:numPr>
                <w:ilvl w:val="0"/>
                <w:numId w:val="4"/>
              </w:numPr>
            </w:pPr>
            <w:r>
              <w:t>Capital budgeting</w:t>
            </w:r>
          </w:p>
          <w:p>
            <w:pPr>
              <w:numPr>
                <w:ilvl w:val="0"/>
                <w:numId w:val="4"/>
              </w:numPr>
            </w:pPr>
            <w:r>
              <w:t>Security analysis</w:t>
            </w:r>
          </w:p>
          <w:p>
            <w:pPr>
              <w:numPr>
                <w:ilvl w:val="0"/>
                <w:numId w:val="4"/>
              </w:numPr>
            </w:pPr>
            <w:r>
              <w:t>Valuations</w:t>
            </w:r>
          </w:p>
          <w:p>
            <w:pPr>
              <w:numPr>
                <w:ilvl w:val="0"/>
                <w:numId w:val="4"/>
              </w:numPr>
            </w:pPr>
            <w:r>
              <w:t>Intro to fixed income mathematics/duration and convexity</w:t>
            </w:r>
          </w:p>
        </w:tc>
        <w:tc>
          <w:tcPr>
            <w:tcW w:w="1297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947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038" w:type="dxa"/>
            <w:vAlign w:val="center"/>
          </w:tcPr>
          <w:p>
            <w:pPr>
              <w:rPr>
                <w:sz w:val="24"/>
              </w:rPr>
            </w:pPr>
          </w:p>
        </w:tc>
        <w:tc>
          <w:tcPr>
            <w:tcW w:w="1748" w:type="dxa"/>
            <w:vAlign w:val="center"/>
          </w:tcPr>
          <w:p>
            <w:pPr>
              <w:rPr>
                <w:sz w:val="24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0" w:name="_Toc46067053"/>
      <w:r>
        <w:rPr>
          <w:rFonts w:hint="eastAsia"/>
        </w:rPr>
        <w:t>《国际贸易政策与实务》课程进度表</w:t>
      </w:r>
      <w:bookmarkEnd w:id="20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国际贸易政策与实务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楷体_GB2312"/>
          <w:sz w:val="28"/>
          <w:u w:val="single"/>
        </w:rPr>
        <w:t>国商专硕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ascii="楷体_GB2312" w:eastAsia="楷体_GB2312"/>
          <w:sz w:val="28"/>
          <w:u w:val="single"/>
        </w:rPr>
        <w:t xml:space="preserve"> 2020级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商品的名称、数量和质量、包装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贸易术语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商品的价格、出口成本核算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交货时间、地点和运输方式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货物运输保险、票据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汇付、托收和信用证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银行保证书、备用证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买卖合同中的支付条款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杨丽花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1" w:name="_Toc46067054"/>
      <w:r>
        <w:rPr>
          <w:rFonts w:hint="eastAsia"/>
        </w:rPr>
        <w:t>《经济学分析与应用》课程进度表</w:t>
      </w:r>
      <w:bookmarkEnd w:id="21"/>
    </w:p>
    <w:p>
      <w:pPr>
        <w:spacing w:line="480" w:lineRule="auto"/>
        <w:rPr>
          <w:rFonts w:eastAsia="楷体_GB2312"/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eastAsia="黑体"/>
          <w:sz w:val="28"/>
        </w:rPr>
        <w:t xml:space="preserve"> </w:t>
      </w:r>
      <w:r>
        <w:rPr>
          <w:rFonts w:hint="eastAsia" w:eastAsia="楷体_GB2312"/>
          <w:sz w:val="28"/>
          <w:u w:val="single"/>
        </w:rPr>
        <w:t>经济学分析与应用</w:t>
      </w:r>
      <w:r>
        <w:rPr>
          <w:rFonts w:eastAsia="楷体_GB2312"/>
          <w:sz w:val="28"/>
          <w:u w:val="single"/>
        </w:rPr>
        <w:t xml:space="preserve"> </w:t>
      </w:r>
      <w:r>
        <w:rPr>
          <w:rFonts w:hint="eastAsia" w:eastAsia="黑体"/>
          <w:sz w:val="28"/>
        </w:rPr>
        <w:t>专业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>国际商务专业硕士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黑体"/>
          <w:sz w:val="28"/>
        </w:rPr>
        <w:t xml:space="preserve">年级 </w:t>
      </w:r>
      <w:r>
        <w:rPr>
          <w:rFonts w:hint="eastAsia" w:eastAsia="楷体_GB2312"/>
          <w:sz w:val="28"/>
          <w:u w:val="single"/>
        </w:rPr>
        <w:t>2020级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2688"/>
        <w:gridCol w:w="897"/>
        <w:gridCol w:w="1050"/>
        <w:gridCol w:w="1335"/>
        <w:gridCol w:w="1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68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9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3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164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经济学分析与应用方法概览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胡明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微观经济分析方法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胡明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微观理论的应用——企业问题的讨论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胡明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宏观经济分析方法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胡明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宏观理论的应用——货币问题考察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胡明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纳入空间因素的经济学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规模经济及其分析框架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地理集聚的机制与应用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地理集聚与内生增长的整合框架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0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2688" w:type="dxa"/>
            <w:vAlign w:val="center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空间一般均衡分析框架的拓展</w:t>
            </w:r>
          </w:p>
        </w:tc>
        <w:tc>
          <w:tcPr>
            <w:tcW w:w="89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2" w:name="_Toc46067055"/>
      <w:r>
        <w:rPr>
          <w:rFonts w:hint="eastAsia"/>
        </w:rPr>
        <w:t>《跨国并购与重组》课程进度表</w:t>
      </w:r>
      <w:bookmarkEnd w:id="22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跨国并购与重组  </w:t>
      </w:r>
      <w:r>
        <w:rPr>
          <w:rFonts w:eastAsia="楷体_GB2312"/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>国</w:t>
      </w:r>
      <w:r>
        <w:rPr>
          <w:rFonts w:eastAsia="楷体_GB2312"/>
          <w:sz w:val="28"/>
          <w:u w:val="single"/>
        </w:rPr>
        <w:t xml:space="preserve">商专硕  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>2020级</w:t>
      </w:r>
      <w:r>
        <w:rPr>
          <w:rFonts w:hint="eastAsia" w:ascii="楷体_GB2312" w:eastAsia="楷体_GB2312"/>
          <w:sz w:val="28"/>
          <w:u w:val="single"/>
        </w:rPr>
        <w:t xml:space="preserve">      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2821"/>
        <w:gridCol w:w="677"/>
        <w:gridCol w:w="1059"/>
        <w:gridCol w:w="1135"/>
        <w:gridCol w:w="2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282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67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059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 称</w:t>
            </w:r>
          </w:p>
        </w:tc>
        <w:tc>
          <w:tcPr>
            <w:tcW w:w="20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跨国并购导论；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并购重组法律法规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跨国并购的监管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常用并购策略、反并购、公司治理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收购与兼并的流程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收购兼并的估值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相对估值、资产导向估值、实务期权估值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非上市企业的分析和估值；跨国并购的尽职调查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并购交易的融资问题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买壳上市与借壳上市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商业联盟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跨国并购后的资源整合及退出重组策略</w:t>
            </w:r>
          </w:p>
        </w:tc>
        <w:tc>
          <w:tcPr>
            <w:tcW w:w="67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9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张婷婷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3" w:name="_Toc46067056"/>
      <w:r>
        <w:rPr>
          <w:rFonts w:hint="eastAsia"/>
        </w:rPr>
        <w:t>《</w:t>
      </w:r>
      <w:r>
        <w:t>国际商务</w:t>
      </w:r>
      <w:r>
        <w:rPr>
          <w:rFonts w:hint="eastAsia"/>
        </w:rPr>
        <w:t>》</w:t>
      </w:r>
      <w:r>
        <w:t>课程进度表</w:t>
      </w:r>
      <w:bookmarkEnd w:id="23"/>
    </w:p>
    <w:p>
      <w:pPr>
        <w:rPr>
          <w:sz w:val="28"/>
          <w:u w:val="single"/>
        </w:rPr>
      </w:pPr>
      <w:bookmarkStart w:id="24" w:name="_Toc15023528"/>
      <w:r>
        <w:rPr>
          <w:rFonts w:eastAsia="黑体"/>
          <w:sz w:val="28"/>
        </w:rPr>
        <w:t>课程名称</w:t>
      </w:r>
      <w:r>
        <w:rPr>
          <w:sz w:val="28"/>
          <w:u w:val="single"/>
        </w:rPr>
        <w:t xml:space="preserve"> </w:t>
      </w:r>
      <w:r>
        <w:rPr>
          <w:rFonts w:eastAsia="楷体"/>
          <w:sz w:val="28"/>
          <w:u w:val="single"/>
        </w:rPr>
        <w:t xml:space="preserve"> 国际商务 </w:t>
      </w:r>
      <w:r>
        <w:rPr>
          <w:rFonts w:eastAsia="楷体_GB2312"/>
          <w:sz w:val="28"/>
          <w:u w:val="single"/>
        </w:rPr>
        <w:t xml:space="preserve"> </w:t>
      </w:r>
      <w:r>
        <w:rPr>
          <w:rFonts w:eastAsia="黑体"/>
          <w:sz w:val="28"/>
        </w:rPr>
        <w:t>专 业</w:t>
      </w:r>
      <w:r>
        <w:rPr>
          <w:rFonts w:eastAsia="楷体"/>
          <w:sz w:val="28"/>
          <w:u w:val="single"/>
        </w:rPr>
        <w:t xml:space="preserve">  国际商务专硕士</w:t>
      </w:r>
      <w:r>
        <w:rPr>
          <w:sz w:val="28"/>
          <w:u w:val="single"/>
        </w:rPr>
        <w:t xml:space="preserve">  </w:t>
      </w:r>
      <w:r>
        <w:rPr>
          <w:rFonts w:eastAsia="黑体"/>
          <w:sz w:val="28"/>
        </w:rPr>
        <w:t>年 级</w:t>
      </w:r>
      <w:r>
        <w:rPr>
          <w:sz w:val="28"/>
          <w:u w:val="single"/>
        </w:rPr>
        <w:t xml:space="preserve">  </w:t>
      </w:r>
      <w:r>
        <w:rPr>
          <w:rFonts w:eastAsia="楷体"/>
          <w:sz w:val="28"/>
          <w:u w:val="single"/>
        </w:rPr>
        <w:t xml:space="preserve"> 2020级</w:t>
      </w:r>
      <w:bookmarkEnd w:id="24"/>
      <w:r>
        <w:rPr>
          <w:rFonts w:eastAsia="楷体"/>
          <w:sz w:val="28"/>
          <w:u w:val="single"/>
        </w:rPr>
        <w:t xml:space="preserve">   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2821"/>
        <w:gridCol w:w="764"/>
        <w:gridCol w:w="972"/>
        <w:gridCol w:w="1135"/>
        <w:gridCol w:w="2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7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周次</w:t>
            </w:r>
          </w:p>
        </w:tc>
        <w:tc>
          <w:tcPr>
            <w:tcW w:w="282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课 程 内 容</w:t>
            </w:r>
          </w:p>
        </w:tc>
        <w:tc>
          <w:tcPr>
            <w:tcW w:w="7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课时</w:t>
            </w:r>
          </w:p>
        </w:tc>
        <w:tc>
          <w:tcPr>
            <w:tcW w:w="97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授课人</w:t>
            </w:r>
          </w:p>
        </w:tc>
        <w:tc>
          <w:tcPr>
            <w:tcW w:w="11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职 称</w:t>
            </w:r>
          </w:p>
        </w:tc>
        <w:tc>
          <w:tcPr>
            <w:tcW w:w="205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国际商务环境分析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宏结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跨国公司与对外直接投资相关理论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宏结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中国吸引外资与对外直接投资概况分析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宏结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国际企业战略专题研究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宏结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国际金融环境分析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汇率市场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国际货币体系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梁涵</w:t>
            </w:r>
          </w:p>
        </w:tc>
        <w:tc>
          <w:tcPr>
            <w:tcW w:w="113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讲师</w:t>
            </w:r>
          </w:p>
        </w:tc>
        <w:tc>
          <w:tcPr>
            <w:tcW w:w="205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仅专硕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5" w:name="_Toc46067057"/>
      <w:r>
        <w:rPr>
          <w:rFonts w:hint="eastAsia"/>
        </w:rPr>
        <w:t>《</w:t>
      </w:r>
      <w:r>
        <w:t>国际高端品牌营造</w:t>
      </w:r>
      <w:r>
        <w:rPr>
          <w:rFonts w:hint="eastAsia"/>
        </w:rPr>
        <w:t>》</w:t>
      </w:r>
      <w:r>
        <w:t>课程进度表</w:t>
      </w:r>
      <w:bookmarkEnd w:id="25"/>
    </w:p>
    <w:p>
      <w:pPr>
        <w:rPr>
          <w:sz w:val="28"/>
          <w:u w:val="single"/>
        </w:rPr>
      </w:pPr>
      <w:r>
        <w:rPr>
          <w:rFonts w:eastAsia="黑体"/>
          <w:sz w:val="24"/>
          <w:szCs w:val="22"/>
        </w:rPr>
        <w:t>课程名称</w:t>
      </w:r>
      <w:r>
        <w:rPr>
          <w:sz w:val="24"/>
          <w:szCs w:val="22"/>
          <w:u w:val="single"/>
        </w:rPr>
        <w:t xml:space="preserve">  </w:t>
      </w:r>
      <w:r>
        <w:rPr>
          <w:rFonts w:eastAsia="楷体"/>
          <w:sz w:val="24"/>
          <w:szCs w:val="22"/>
          <w:u w:val="single"/>
        </w:rPr>
        <w:t xml:space="preserve">国际高端品牌营造   </w:t>
      </w:r>
      <w:r>
        <w:rPr>
          <w:rFonts w:eastAsia="黑体"/>
          <w:sz w:val="24"/>
          <w:szCs w:val="22"/>
        </w:rPr>
        <w:t>专 业</w:t>
      </w:r>
      <w:r>
        <w:rPr>
          <w:rFonts w:eastAsia="楷体"/>
          <w:sz w:val="24"/>
          <w:szCs w:val="22"/>
          <w:u w:val="single"/>
        </w:rPr>
        <w:t xml:space="preserve">  国际商务专硕士</w:t>
      </w:r>
      <w:r>
        <w:rPr>
          <w:sz w:val="24"/>
          <w:szCs w:val="22"/>
          <w:u w:val="single"/>
        </w:rPr>
        <w:t xml:space="preserve">    </w:t>
      </w:r>
      <w:r>
        <w:rPr>
          <w:rFonts w:eastAsia="黑体"/>
          <w:sz w:val="24"/>
          <w:szCs w:val="22"/>
        </w:rPr>
        <w:t>年 级</w:t>
      </w:r>
      <w:r>
        <w:rPr>
          <w:sz w:val="24"/>
          <w:szCs w:val="22"/>
          <w:u w:val="single"/>
        </w:rPr>
        <w:t xml:space="preserve">  </w:t>
      </w:r>
      <w:r>
        <w:rPr>
          <w:rFonts w:eastAsia="楷体"/>
          <w:sz w:val="24"/>
          <w:szCs w:val="22"/>
          <w:u w:val="single"/>
        </w:rPr>
        <w:t xml:space="preserve"> 2020级  </w:t>
      </w:r>
      <w:r>
        <w:rPr>
          <w:rFonts w:eastAsia="楷体"/>
          <w:sz w:val="28"/>
          <w:u w:val="single"/>
        </w:rPr>
        <w:t xml:space="preserve"> 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2821"/>
        <w:gridCol w:w="764"/>
        <w:gridCol w:w="1213"/>
        <w:gridCol w:w="1147"/>
        <w:gridCol w:w="1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7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周次</w:t>
            </w:r>
          </w:p>
        </w:tc>
        <w:tc>
          <w:tcPr>
            <w:tcW w:w="282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课 程 内 容</w:t>
            </w:r>
          </w:p>
        </w:tc>
        <w:tc>
          <w:tcPr>
            <w:tcW w:w="7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课时</w:t>
            </w:r>
          </w:p>
        </w:tc>
        <w:tc>
          <w:tcPr>
            <w:tcW w:w="121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授课人</w:t>
            </w:r>
          </w:p>
        </w:tc>
        <w:tc>
          <w:tcPr>
            <w:tcW w:w="114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职 称</w:t>
            </w:r>
          </w:p>
        </w:tc>
        <w:tc>
          <w:tcPr>
            <w:tcW w:w="180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高端品牌概念与商业模式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高端品牌消费者行为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高端品牌营销战略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高端品牌案例研讨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高端品牌销售与团队管理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高端品牌创始人企业家精神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陈曦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副教授</w:t>
            </w: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282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企业参访或嘉宾讲师专场</w:t>
            </w:r>
          </w:p>
        </w:tc>
        <w:tc>
          <w:tcPr>
            <w:tcW w:w="764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李梓宁等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80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仅专硕</w:t>
            </w:r>
          </w:p>
        </w:tc>
      </w:tr>
    </w:tbl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6" w:name="_Toc46067058"/>
      <w:r>
        <w:rPr>
          <w:rFonts w:hint="eastAsia"/>
        </w:rPr>
        <w:t>《</w:t>
      </w:r>
      <w:r>
        <w:t>国际商务谈判</w:t>
      </w:r>
      <w:r>
        <w:rPr>
          <w:rFonts w:hint="eastAsia"/>
        </w:rPr>
        <w:t>》</w:t>
      </w:r>
      <w:r>
        <w:t>课程进度表</w:t>
      </w:r>
      <w:bookmarkEnd w:id="26"/>
    </w:p>
    <w:p>
      <w:pPr>
        <w:adjustRightInd w:val="0"/>
        <w:snapToGrid w:val="0"/>
        <w:rPr>
          <w:rFonts w:ascii="仿宋" w:hAnsi="仿宋" w:eastAsia="仿宋" w:cs="仿宋"/>
          <w:b/>
          <w:bCs/>
          <w:sz w:val="24"/>
        </w:rPr>
      </w:pPr>
      <w:r>
        <w:rPr>
          <w:rFonts w:eastAsia="黑体"/>
          <w:sz w:val="28"/>
        </w:rPr>
        <w:t>课程名称</w:t>
      </w:r>
      <w:r>
        <w:rPr>
          <w:sz w:val="28"/>
          <w:u w:val="single"/>
        </w:rPr>
        <w:t xml:space="preserve"> </w:t>
      </w:r>
      <w:r>
        <w:rPr>
          <w:rFonts w:eastAsia="楷体"/>
          <w:sz w:val="28"/>
          <w:u w:val="single"/>
        </w:rPr>
        <w:t xml:space="preserve">国际商务谈判  </w:t>
      </w:r>
      <w:r>
        <w:rPr>
          <w:rFonts w:eastAsia="楷体_GB2312"/>
          <w:sz w:val="28"/>
          <w:u w:val="single"/>
        </w:rPr>
        <w:t xml:space="preserve">  </w:t>
      </w:r>
      <w:r>
        <w:rPr>
          <w:rFonts w:eastAsia="黑体"/>
          <w:sz w:val="28"/>
        </w:rPr>
        <w:t>专 业</w:t>
      </w:r>
      <w:r>
        <w:rPr>
          <w:rFonts w:eastAsia="楷体"/>
          <w:sz w:val="28"/>
          <w:u w:val="single"/>
        </w:rPr>
        <w:t xml:space="preserve"> 国际商务专硕</w:t>
      </w:r>
      <w:r>
        <w:rPr>
          <w:sz w:val="28"/>
          <w:u w:val="single"/>
        </w:rPr>
        <w:t xml:space="preserve">  </w:t>
      </w:r>
      <w:r>
        <w:rPr>
          <w:rFonts w:eastAsia="黑体"/>
          <w:sz w:val="28"/>
        </w:rPr>
        <w:t>年 级</w:t>
      </w:r>
      <w:r>
        <w:rPr>
          <w:sz w:val="28"/>
          <w:u w:val="single"/>
        </w:rPr>
        <w:t xml:space="preserve">  </w:t>
      </w:r>
      <w:r>
        <w:rPr>
          <w:rFonts w:eastAsia="楷体"/>
          <w:sz w:val="28"/>
          <w:u w:val="single"/>
        </w:rPr>
        <w:t xml:space="preserve">2020级 </w:t>
      </w:r>
    </w:p>
    <w:tbl>
      <w:tblPr>
        <w:tblStyle w:val="8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2671"/>
        <w:gridCol w:w="733"/>
        <w:gridCol w:w="1115"/>
        <w:gridCol w:w="933"/>
        <w:gridCol w:w="2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课次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 xml:space="preserve"> 内 容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课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时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授课人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 w:cs="仿宋"/>
                <w:b/>
                <w:bCs/>
                <w:sz w:val="24"/>
              </w:rPr>
              <w:t>职称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模拟谈判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第1章  国际商务谈判导论</w:t>
            </w:r>
          </w:p>
          <w:p>
            <w:pPr>
              <w:pStyle w:val="3"/>
              <w:keepNext w:val="0"/>
              <w:keepLines w:val="0"/>
              <w:adjustRightInd w:val="0"/>
              <w:snapToGrid w:val="0"/>
              <w:spacing w:before="0" w:after="0" w:line="300" w:lineRule="exact"/>
              <w:rPr>
                <w:rFonts w:ascii="仿宋" w:hAnsi="仿宋" w:eastAsia="仿宋" w:cs="仿宋"/>
                <w:b w:val="0"/>
                <w:bCs w:val="0"/>
                <w:sz w:val="21"/>
                <w:szCs w:val="21"/>
              </w:rPr>
            </w:pPr>
            <w:bookmarkStart w:id="27" w:name="_Toc46067059"/>
            <w:r>
              <w:rPr>
                <w:rFonts w:hint="eastAsia" w:ascii="仿宋" w:hAnsi="仿宋" w:eastAsia="仿宋" w:cs="仿宋"/>
                <w:b w:val="0"/>
                <w:bCs w:val="0"/>
                <w:sz w:val="21"/>
                <w:szCs w:val="21"/>
              </w:rPr>
              <w:t>1.1国际商务谈判的概念与种类</w:t>
            </w:r>
            <w:bookmarkEnd w:id="27"/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1.2国际</w:t>
            </w:r>
            <w:r>
              <w:rPr>
                <w:rFonts w:hint="eastAsia" w:ascii="仿宋" w:hAnsi="仿宋" w:eastAsia="仿宋" w:cs="仿宋"/>
                <w:bCs/>
                <w:szCs w:val="21"/>
              </w:rPr>
              <w:t>商务谈判的</w:t>
            </w:r>
            <w:r>
              <w:rPr>
                <w:rFonts w:hint="eastAsia" w:ascii="仿宋" w:hAnsi="仿宋" w:eastAsia="仿宋" w:cs="仿宋"/>
                <w:szCs w:val="21"/>
              </w:rPr>
              <w:t>特点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1.3国际</w:t>
            </w:r>
            <w:r>
              <w:rPr>
                <w:rFonts w:hint="eastAsia" w:ascii="仿宋" w:hAnsi="仿宋" w:eastAsia="仿宋" w:cs="仿宋"/>
                <w:bCs/>
                <w:szCs w:val="21"/>
              </w:rPr>
              <w:t>商务谈判的</w:t>
            </w:r>
            <w:r>
              <w:rPr>
                <w:rFonts w:hint="eastAsia" w:ascii="仿宋" w:hAnsi="仿宋" w:eastAsia="仿宋" w:cs="仿宋"/>
                <w:szCs w:val="21"/>
              </w:rPr>
              <w:t>基本程序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1.4双赢理念与合作原则谈判法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教师提供案例集；学生成立不同的公司，每公司5人左右，并选择模拟谈判案例。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第2章 国际商务谈判的礼仪与文化差异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2.1国际商务谈判的礼仪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2.2国际商务谈判的文化差异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各公司分析案例，搜集相关资料；与谈判对手初步接洽。各公司制作案例简介、谈判成员名片。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第3章 国际商务谈判前的准备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3.1人员的组织与管理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3.2信息准备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3.3谈判方案的制定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各公司制作谈判方案。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第4章 国际商务谈判中的策略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4.1 开局阶段的策略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4.2 报价阶段的策略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4.3 磋商阶段的策略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点评谈判方案。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第4章 国际商务谈判中的策略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4.4 打破僵局的策略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4.5 收尾的策略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第一次模拟谈判。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具体程序：学生简单介绍案例5分钟，模拟谈判35分钟，甲乙双方各评述3分钟，不参与谈判的学生打分，教师或专家点评20分钟。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第5章 国际商务谈判合同的签订与履行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5.1合同文本的审核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5.2常用合同文本的比较分析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5.3签约人与签约仪式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5.4后续谈判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第二次模拟谈判。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具体程序同上。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7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numPr>
                <w:ilvl w:val="0"/>
                <w:numId w:val="5"/>
              </w:num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模拟谈判案例的综合分析与演练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6.1模拟谈判案例的综合分析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第三次模拟谈判。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具体程序同上。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2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8</w:t>
            </w:r>
          </w:p>
        </w:tc>
        <w:tc>
          <w:tcPr>
            <w:tcW w:w="1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6.2随机模拟谈判及专家点评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</w:t>
            </w:r>
          </w:p>
        </w:tc>
        <w:tc>
          <w:tcPr>
            <w:tcW w:w="6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张淑静</w:t>
            </w:r>
          </w:p>
        </w:tc>
        <w:tc>
          <w:tcPr>
            <w:tcW w:w="5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教授</w:t>
            </w:r>
          </w:p>
        </w:tc>
        <w:tc>
          <w:tcPr>
            <w:tcW w:w="15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现场发放案例，将学生分成甲方与乙方公司，安排在不同的教室，讨论案例，做谈判前准备进行面对面模拟谈判。教师或专家点评。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8" w:name="_Toc46067060"/>
      <w:r>
        <w:rPr>
          <w:rFonts w:hint="eastAsia"/>
        </w:rPr>
        <w:t>《</w:t>
      </w:r>
      <w:r>
        <w:rPr>
          <w:rFonts w:hint="eastAsia" w:ascii="Kaiti SC Regular" w:hAnsi="Kaiti SC Regular" w:cs="Kaiti SC Regular"/>
        </w:rPr>
        <w:t>奢侈品管理</w:t>
      </w:r>
      <w:r>
        <w:rPr>
          <w:rFonts w:hint="eastAsia"/>
        </w:rPr>
        <w:t>》课程进度表</w:t>
      </w:r>
      <w:bookmarkEnd w:id="28"/>
    </w:p>
    <w:p>
      <w:pPr>
        <w:spacing w:line="480" w:lineRule="auto"/>
        <w:jc w:val="left"/>
        <w:rPr>
          <w:sz w:val="28"/>
          <w:u w:val="single"/>
        </w:rPr>
      </w:pPr>
      <w:r>
        <w:rPr>
          <w:rFonts w:hint="eastAsia" w:eastAsia="黑体"/>
          <w:sz w:val="28"/>
        </w:rPr>
        <w:t xml:space="preserve">课程名称 </w:t>
      </w:r>
      <w:r>
        <w:rPr>
          <w:rFonts w:hint="eastAsia" w:ascii="Kaiti SC Regular" w:hAnsi="Kaiti SC Regular" w:eastAsia="Kaiti SC Regular" w:cs="Kaiti SC Regular"/>
          <w:sz w:val="28"/>
          <w:u w:val="single"/>
        </w:rPr>
        <w:t>奢侈品管理</w:t>
      </w:r>
      <w:r>
        <w:rPr>
          <w:rFonts w:ascii="Kaiti SC Regular" w:hAnsi="Kaiti SC Regular" w:eastAsia="Kaiti SC Regular" w:cs="Kaiti SC Regular"/>
          <w:sz w:val="28"/>
          <w:u w:val="single"/>
        </w:rPr>
        <w:t xml:space="preserve">     </w:t>
      </w:r>
      <w:r>
        <w:rPr>
          <w:rFonts w:hint="eastAsia" w:eastAsia="黑体"/>
          <w:sz w:val="28"/>
        </w:rPr>
        <w:t>专 业</w:t>
      </w:r>
      <w:r>
        <w:rPr>
          <w:rFonts w:hint="eastAsia" w:ascii="Kaiti SC Regular" w:hAnsi="Kaiti SC Regular" w:eastAsia="Kaiti SC Regular" w:cs="Kaiti SC Regular"/>
          <w:sz w:val="28"/>
          <w:u w:val="single"/>
        </w:rPr>
        <w:t xml:space="preserve">  国际商务</w:t>
      </w:r>
      <w:r>
        <w:rPr>
          <w:rFonts w:ascii="Kaiti SC Regular" w:hAnsi="Kaiti SC Regular" w:eastAsia="Kaiti SC Regular" w:cs="Kaiti SC Regular"/>
          <w:sz w:val="28"/>
          <w:u w:val="single"/>
        </w:rPr>
        <w:t>专硕</w:t>
      </w:r>
      <w:r>
        <w:rPr>
          <w:rFonts w:hint="eastAsia" w:eastAsia="黑体"/>
          <w:sz w:val="28"/>
        </w:rPr>
        <w:t xml:space="preserve"> </w:t>
      </w:r>
      <w:r>
        <w:rPr>
          <w:rFonts w:eastAsia="黑体"/>
          <w:sz w:val="28"/>
        </w:rPr>
        <w:t xml:space="preserve">   </w:t>
      </w:r>
      <w:r>
        <w:rPr>
          <w:rFonts w:hint="eastAsia" w:eastAsia="黑体"/>
          <w:sz w:val="28"/>
        </w:rPr>
        <w:t>年 级</w:t>
      </w:r>
      <w:r>
        <w:rPr>
          <w:rFonts w:hint="eastAsia" w:ascii="Kaiti SC Regular" w:hAnsi="Kaiti SC Regular" w:eastAsia="Kaiti SC Regular" w:cs="Kaiti SC Regular"/>
          <w:sz w:val="28"/>
          <w:u w:val="single"/>
        </w:rPr>
        <w:t xml:space="preserve"> 2020级 </w:t>
      </w:r>
      <w:r>
        <w:rPr>
          <w:rFonts w:eastAsia="黑体"/>
          <w:sz w:val="28"/>
        </w:rPr>
        <w:t xml:space="preserve">    </w:t>
      </w:r>
      <w:r>
        <w:rPr>
          <w:rFonts w:hint="eastAsia" w:eastAsia="黑体"/>
          <w:sz w:val="28"/>
        </w:rPr>
        <w:t xml:space="preserve">   </w:t>
      </w:r>
      <w:r>
        <w:rPr>
          <w:rFonts w:hint="eastAsia" w:ascii="楷体_GB2312" w:eastAsia="楷体_GB2312"/>
          <w:sz w:val="28"/>
          <w:u w:val="single"/>
        </w:rPr>
        <w:t xml:space="preserve">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3935"/>
        <w:gridCol w:w="726"/>
        <w:gridCol w:w="941"/>
        <w:gridCol w:w="892"/>
        <w:gridCol w:w="1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77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周次</w:t>
            </w:r>
          </w:p>
        </w:tc>
        <w:tc>
          <w:tcPr>
            <w:tcW w:w="393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课 程 内 容</w:t>
            </w:r>
          </w:p>
        </w:tc>
        <w:tc>
          <w:tcPr>
            <w:tcW w:w="72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课时</w:t>
            </w:r>
          </w:p>
        </w:tc>
        <w:tc>
          <w:tcPr>
            <w:tcW w:w="94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授课人</w:t>
            </w:r>
          </w:p>
        </w:tc>
        <w:tc>
          <w:tcPr>
            <w:tcW w:w="89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职 称</w:t>
            </w:r>
          </w:p>
        </w:tc>
        <w:tc>
          <w:tcPr>
            <w:tcW w:w="125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备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The essence of high-end brands and products:</w:t>
            </w:r>
          </w:p>
          <w:p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Design</w:t>
            </w:r>
          </w:p>
          <w:p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Manufacturing</w:t>
            </w:r>
          </w:p>
          <w:p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Pricing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Denis Morisset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The essence of high-end brands and products:</w:t>
            </w:r>
          </w:p>
          <w:p>
            <w:pPr>
              <w:pStyle w:val="16"/>
              <w:numPr>
                <w:ilvl w:val="0"/>
                <w:numId w:val="7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Marketing</w:t>
            </w:r>
          </w:p>
          <w:p>
            <w:pPr>
              <w:pStyle w:val="16"/>
              <w:numPr>
                <w:ilvl w:val="0"/>
                <w:numId w:val="7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Distribution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Denis Morisset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High-end brands retail best practices:</w:t>
            </w:r>
          </w:p>
          <w:p>
            <w:pPr>
              <w:pStyle w:val="16"/>
              <w:numPr>
                <w:ilvl w:val="0"/>
                <w:numId w:val="8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What creates a high-end experience</w:t>
            </w:r>
          </w:p>
          <w:p>
            <w:pPr>
              <w:pStyle w:val="16"/>
              <w:numPr>
                <w:ilvl w:val="0"/>
                <w:numId w:val="8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The importance of location</w:t>
            </w:r>
          </w:p>
          <w:p>
            <w:pPr>
              <w:pStyle w:val="16"/>
              <w:numPr>
                <w:ilvl w:val="0"/>
                <w:numId w:val="8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Decoration and product merchandising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5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Denis Morisset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High-end brands retail best practices</w:t>
            </w:r>
          </w:p>
          <w:p>
            <w:pPr>
              <w:pStyle w:val="16"/>
              <w:numPr>
                <w:ilvl w:val="0"/>
                <w:numId w:val="9"/>
              </w:numPr>
              <w:jc w:val="both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Retail management in the digital age</w:t>
            </w:r>
          </w:p>
          <w:p>
            <w:pPr>
              <w:pStyle w:val="16"/>
              <w:numPr>
                <w:ilvl w:val="0"/>
                <w:numId w:val="9"/>
              </w:numPr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Best practices and case studies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4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Denis Morisset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</w:rPr>
              <w:t>Delivering high-end service</w:t>
            </w:r>
          </w:p>
          <w:p>
            <w:pPr>
              <w:pStyle w:val="16"/>
              <w:numPr>
                <w:ilvl w:val="0"/>
                <w:numId w:val="10"/>
              </w:numPr>
              <w:spacing w:after="0" w:line="339" w:lineRule="atLeast"/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  <w:t>The professional facet</w:t>
            </w:r>
          </w:p>
          <w:p>
            <w:pPr>
              <w:pStyle w:val="16"/>
              <w:numPr>
                <w:ilvl w:val="0"/>
                <w:numId w:val="10"/>
              </w:numPr>
              <w:spacing w:after="0" w:line="339" w:lineRule="atLeast"/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  <w:t>The aesthetic facet</w:t>
            </w:r>
          </w:p>
          <w:p>
            <w:pPr>
              <w:pStyle w:val="16"/>
              <w:numPr>
                <w:ilvl w:val="0"/>
                <w:numId w:val="10"/>
              </w:numPr>
              <w:spacing w:after="0" w:line="339" w:lineRule="atLeast"/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  <w:t>The human facet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Denis Morisset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7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35" w:type="dxa"/>
            <w:vAlign w:val="center"/>
          </w:tcPr>
          <w:p>
            <w:pP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</w:rPr>
              <w:t>Delivering high-end service</w:t>
            </w:r>
          </w:p>
          <w:p>
            <w:pPr>
              <w:pStyle w:val="16"/>
              <w:numPr>
                <w:ilvl w:val="0"/>
                <w:numId w:val="10"/>
              </w:numPr>
              <w:spacing w:after="0" w:line="339" w:lineRule="atLeast"/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  <w:t>The leadership facet</w:t>
            </w:r>
          </w:p>
          <w:p>
            <w:pPr>
              <w:pStyle w:val="16"/>
              <w:numPr>
                <w:ilvl w:val="0"/>
                <w:numId w:val="10"/>
              </w:numPr>
              <w:spacing w:after="0" w:line="339" w:lineRule="atLeast"/>
              <w:jc w:val="both"/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</w:pPr>
            <w:r>
              <w:rPr>
                <w:rFonts w:ascii="Times New Roman Regular" w:hAnsi="Times New Roman Regular" w:eastAsia="Times New Roman" w:cs="Times New Roman Regular"/>
                <w:bCs/>
                <w:color w:val="333333"/>
                <w:sz w:val="18"/>
                <w:szCs w:val="18"/>
                <w:lang w:val="en-US"/>
              </w:rPr>
              <w:t>High end brands selling skills</w:t>
            </w:r>
          </w:p>
        </w:tc>
        <w:tc>
          <w:tcPr>
            <w:tcW w:w="726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3</w:t>
            </w:r>
          </w:p>
        </w:tc>
        <w:tc>
          <w:tcPr>
            <w:tcW w:w="941" w:type="dxa"/>
            <w:vAlign w:val="center"/>
          </w:tcPr>
          <w:p>
            <w:pPr>
              <w:jc w:val="center"/>
              <w:rPr>
                <w:rFonts w:ascii="Times New Roman Regular" w:hAnsi="Times New Roman Regular" w:cs="Times New Roman Regular"/>
                <w:sz w:val="18"/>
                <w:szCs w:val="18"/>
              </w:rPr>
            </w:pPr>
            <w:r>
              <w:rPr>
                <w:rFonts w:ascii="Times New Roman Regular" w:hAnsi="Times New Roman Regular" w:cs="Times New Roman Regular"/>
                <w:sz w:val="18"/>
                <w:szCs w:val="18"/>
              </w:rPr>
              <w:t>张婷婷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讲师</w:t>
            </w:r>
          </w:p>
        </w:tc>
        <w:tc>
          <w:tcPr>
            <w:tcW w:w="125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9" w:name="_Toc46067061"/>
      <w:r>
        <w:rPr>
          <w:rFonts w:hint="eastAsia"/>
        </w:rPr>
        <w:t>《</w:t>
      </w:r>
      <w:r>
        <w:rPr>
          <w:rFonts w:hint="eastAsia" w:ascii="楷体" w:hAnsi="楷体" w:cs="楷体"/>
        </w:rPr>
        <w:t>国际形象管理</w:t>
      </w:r>
      <w:r>
        <w:rPr>
          <w:rFonts w:hint="eastAsia"/>
        </w:rPr>
        <w:t>》课程进度表</w:t>
      </w:r>
      <w:bookmarkEnd w:id="29"/>
    </w:p>
    <w:p>
      <w:pPr>
        <w:spacing w:line="480" w:lineRule="auto"/>
        <w:rPr>
          <w:sz w:val="28"/>
          <w:u w:val="single"/>
        </w:rPr>
      </w:pPr>
      <w:r>
        <w:rPr>
          <w:rFonts w:hint="eastAsia" w:eastAsia="黑体"/>
          <w:sz w:val="28"/>
        </w:rPr>
        <w:t>课程名称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eastAsia="楷体_GB2312"/>
          <w:sz w:val="28"/>
          <w:u w:val="single"/>
        </w:rPr>
        <w:t xml:space="preserve"> </w:t>
      </w:r>
      <w:r>
        <w:rPr>
          <w:rFonts w:hint="eastAsia" w:ascii="楷体" w:hAnsi="楷体" w:eastAsia="楷体" w:cs="楷体"/>
          <w:sz w:val="28"/>
          <w:szCs w:val="28"/>
          <w:u w:val="single"/>
        </w:rPr>
        <w:t>国际形象管理</w:t>
      </w:r>
      <w:r>
        <w:rPr>
          <w:rFonts w:hint="eastAsia" w:eastAsia="楷体_GB2312"/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专 业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ascii="楷体" w:hAnsi="楷体" w:eastAsia="楷体" w:cs="楷体"/>
          <w:sz w:val="28"/>
          <w:szCs w:val="28"/>
          <w:u w:val="single"/>
        </w:rPr>
        <w:t>国际商务</w:t>
      </w:r>
      <w:r>
        <w:rPr>
          <w:rFonts w:ascii="楷体" w:hAnsi="楷体" w:eastAsia="楷体" w:cs="楷体"/>
          <w:sz w:val="28"/>
          <w:szCs w:val="28"/>
          <w:u w:val="single"/>
        </w:rPr>
        <w:t>专硕</w:t>
      </w:r>
      <w:r>
        <w:rPr>
          <w:rFonts w:hint="eastAsia"/>
          <w:sz w:val="28"/>
          <w:u w:val="single"/>
        </w:rPr>
        <w:t xml:space="preserve">  </w:t>
      </w:r>
      <w:r>
        <w:rPr>
          <w:rFonts w:hint="eastAsia" w:eastAsia="黑体"/>
          <w:sz w:val="28"/>
        </w:rPr>
        <w:t>年 级</w:t>
      </w:r>
      <w:r>
        <w:rPr>
          <w:rFonts w:hint="eastAsia"/>
          <w:sz w:val="28"/>
          <w:u w:val="single"/>
        </w:rPr>
        <w:t xml:space="preserve"> </w:t>
      </w:r>
      <w:r>
        <w:rPr>
          <w:rFonts w:hint="eastAsia" w:ascii="Kaiti SC Regular" w:hAnsi="Kaiti SC Regular" w:eastAsia="Kaiti SC Regular" w:cs="Kaiti SC Regular"/>
          <w:sz w:val="28"/>
          <w:szCs w:val="28"/>
          <w:u w:val="single"/>
        </w:rPr>
        <w:t>19</w:t>
      </w:r>
      <w:r>
        <w:rPr>
          <w:rFonts w:hint="eastAsia" w:ascii="楷体_GB2312" w:eastAsia="楷体_GB2312"/>
          <w:sz w:val="28"/>
          <w:u w:val="single"/>
        </w:rPr>
        <w:t>、</w:t>
      </w:r>
      <w:r>
        <w:rPr>
          <w:rFonts w:hint="eastAsia" w:ascii="Kaiti SC Regular" w:hAnsi="Kaiti SC Regular" w:eastAsia="Kaiti SC Regular" w:cs="Kaiti SC Regular"/>
          <w:sz w:val="28"/>
          <w:szCs w:val="28"/>
          <w:u w:val="single"/>
        </w:rPr>
        <w:t>20级</w:t>
      </w:r>
      <w:r>
        <w:rPr>
          <w:rFonts w:hint="eastAsia" w:ascii="楷体_GB2312" w:eastAsia="楷体_GB2312"/>
          <w:sz w:val="28"/>
          <w:u w:val="single"/>
        </w:rPr>
        <w:t xml:space="preserve">        </w:t>
      </w:r>
      <w:r>
        <w:rPr>
          <w:rFonts w:hint="eastAsia"/>
          <w:sz w:val="28"/>
          <w:u w:val="single"/>
        </w:rPr>
        <w:t xml:space="preserve"> </w:t>
      </w:r>
    </w:p>
    <w:tbl>
      <w:tblPr>
        <w:tblStyle w:val="8"/>
        <w:tblW w:w="87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3790"/>
        <w:gridCol w:w="853"/>
        <w:gridCol w:w="1389"/>
        <w:gridCol w:w="758"/>
        <w:gridCol w:w="1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832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周次</w:t>
            </w:r>
          </w:p>
        </w:tc>
        <w:tc>
          <w:tcPr>
            <w:tcW w:w="379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 程 内 容</w:t>
            </w:r>
          </w:p>
        </w:tc>
        <w:tc>
          <w:tcPr>
            <w:tcW w:w="85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课时</w:t>
            </w:r>
          </w:p>
        </w:tc>
        <w:tc>
          <w:tcPr>
            <w:tcW w:w="138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授课人</w:t>
            </w:r>
          </w:p>
        </w:tc>
        <w:tc>
          <w:tcPr>
            <w:tcW w:w="75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职称</w:t>
            </w:r>
          </w:p>
        </w:tc>
        <w:tc>
          <w:tcPr>
            <w:tcW w:w="112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上午</w:t>
            </w:r>
          </w:p>
        </w:tc>
        <w:tc>
          <w:tcPr>
            <w:tcW w:w="3790" w:type="dxa"/>
            <w:vAlign w:val="center"/>
          </w:tcPr>
          <w:p>
            <w:pPr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第一单元: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国际形象管理概论</w:t>
            </w:r>
          </w:p>
          <w:p>
            <w:pPr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Baoli SC Regular"/>
                <w:sz w:val="22"/>
                <w:szCs w:val="22"/>
              </w:rPr>
              <w:t>个人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形象管理系统导论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下午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第二单元: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国际标准的礼仪与其规范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专题研究说明</w:t>
            </w:r>
            <w:r>
              <w:rPr>
                <w:rFonts w:hint="eastAsia" w:ascii="宋体" w:hAnsi="宋体" w:cs="Helvetica"/>
                <w:sz w:val="22"/>
                <w:szCs w:val="22"/>
              </w:rPr>
              <w:t>（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中式礼仪精神与国际礼数的结合）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第三单元: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仪表识别/基础外型管理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 xml:space="preserve">-身材比例分析与服装选择技术 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ascii="宋体" w:hAnsi="宋体" w:cs="PingFang SC Regular"/>
                <w:sz w:val="22"/>
                <w:szCs w:val="22"/>
              </w:rPr>
              <w:t>-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个性与服饰造型研究与欣赏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下午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b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第四单元: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仪表识别/国际风格管理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-色彩分析</w:t>
            </w:r>
            <w:r>
              <w:rPr>
                <w:rFonts w:hint="eastAsia" w:ascii="宋体" w:hAnsi="宋体" w:cs="宋体"/>
                <w:sz w:val="22"/>
                <w:szCs w:val="22"/>
              </w:rPr>
              <w:t>、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色彩搭配与色彩风格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ascii="宋体" w:hAnsi="宋体" w:cs="PingFang SC Regular"/>
                <w:sz w:val="22"/>
                <w:szCs w:val="22"/>
              </w:rPr>
              <w:t>-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配件与装饰品的搭配原理与规则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第五单元: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自我识别/文化管理与扩展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-中西方思维方式和价值观的差异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ascii="宋体" w:hAnsi="宋体" w:cs="PingFang SC Regular"/>
                <w:sz w:val="22"/>
                <w:szCs w:val="22"/>
              </w:rPr>
              <w:t>-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专题研究讨论</w:t>
            </w:r>
            <w:r>
              <w:rPr>
                <w:rFonts w:hint="eastAsia" w:ascii="宋体" w:hAnsi="宋体" w:cs="Helvetica"/>
                <w:sz w:val="22"/>
                <w:szCs w:val="22"/>
              </w:rPr>
              <w:t>（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中式礼仪精神与国际礼数的结合）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下午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第六单元: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行为识别/社交策略管理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-有效率的沟通技巧与声音运用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ascii="宋体" w:hAnsi="宋体" w:cs="PingFang SC Regular"/>
                <w:sz w:val="22"/>
                <w:szCs w:val="22"/>
              </w:rPr>
              <w:t>-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掌握性肢体语言与国际范儿仪态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上午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第七单元:</w:t>
            </w:r>
            <w:r>
              <w:rPr>
                <w:rFonts w:hint="eastAsia" w:ascii="宋体" w:hAnsi="宋体" w:cs="PingFang SC Regular"/>
                <w:sz w:val="22"/>
                <w:szCs w:val="22"/>
              </w:rPr>
              <w:t>个人识别/优质化管理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-成功的专业风采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PingFang SC Regular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-表达的技术与技巧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18/10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下午</w:t>
            </w:r>
          </w:p>
        </w:tc>
        <w:tc>
          <w:tcPr>
            <w:tcW w:w="3790" w:type="dxa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Helvetica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</w:rPr>
              <w:t>第八单元:学习评估和考核</w:t>
            </w:r>
            <w:r>
              <w:rPr>
                <w:rFonts w:hint="eastAsia" w:ascii="宋体" w:hAnsi="宋体" w:cs="Helvetica"/>
                <w:sz w:val="22"/>
                <w:szCs w:val="22"/>
              </w:rPr>
              <w:tab/>
            </w:r>
          </w:p>
          <w:p>
            <w:pPr>
              <w:jc w:val="left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cs="PingFang SC Regular"/>
                <w:sz w:val="22"/>
                <w:szCs w:val="22"/>
              </w:rPr>
              <w:t>中式礼仪精神与国际礼数的结合</w:t>
            </w:r>
          </w:p>
        </w:tc>
        <w:tc>
          <w:tcPr>
            <w:tcW w:w="85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NewRomanPSMT" w:hAnsi="TimesNewRomanPSMT" w:eastAsia="TimesNewRomanPSMT" w:cs="TimesNewRomanPSMT"/>
                <w:color w:val="000000"/>
                <w:kern w:val="0"/>
                <w:sz w:val="20"/>
                <w:szCs w:val="20"/>
                <w:lang w:bidi="ar"/>
              </w:rPr>
              <w:t>Mabel YUNG-I WU</w:t>
            </w:r>
          </w:p>
        </w:tc>
        <w:tc>
          <w:tcPr>
            <w:tcW w:w="75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教授</w:t>
            </w:r>
          </w:p>
        </w:tc>
        <w:tc>
          <w:tcPr>
            <w:tcW w:w="1126" w:type="dxa"/>
            <w:vAlign w:val="center"/>
          </w:tcPr>
          <w:p>
            <w:pPr>
              <w:jc w:val="left"/>
              <w:rPr>
                <w:sz w:val="20"/>
                <w:szCs w:val="20"/>
              </w:rPr>
            </w:pPr>
          </w:p>
        </w:tc>
      </w:tr>
    </w:tbl>
    <w:p/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Kaiti SC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Kaiti SC Regular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1" w:usb3="00000000" w:csb0="400001BF" w:csb1="DFF70000"/>
  </w:font>
  <w:font w:name="Times New Roman Medium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PingFang SC Regular">
    <w:altName w:val="宋体"/>
    <w:panose1 w:val="00000000000000000000"/>
    <w:charset w:val="86"/>
    <w:family w:val="swiss"/>
    <w:pitch w:val="default"/>
    <w:sig w:usb0="00000000" w:usb1="00000000" w:usb2="00000017" w:usb3="00000000" w:csb0="00040001" w:csb1="00000000"/>
  </w:font>
  <w:font w:name="Baoli SC Regular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1" w:usb3="00000000" w:csb0="400001BF" w:csb1="DFF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2</w:t>
    </w:r>
    <w:r>
      <w:rPr>
        <w:rStyle w:val="11"/>
      </w:rPr>
      <w:fldChar w:fldCharType="end"/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0ADC"/>
    <w:multiLevelType w:val="multilevel"/>
    <w:tmpl w:val="09ED0ADC"/>
    <w:lvl w:ilvl="0" w:tentative="0">
      <w:start w:val="1"/>
      <w:numFmt w:val="bullet"/>
      <w:lvlText w:val="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BE44CE5"/>
    <w:multiLevelType w:val="multilevel"/>
    <w:tmpl w:val="0BE44CE5"/>
    <w:lvl w:ilvl="0" w:tentative="0">
      <w:start w:val="1"/>
      <w:numFmt w:val="bullet"/>
      <w:lvlText w:val="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DA80585"/>
    <w:multiLevelType w:val="multilevel"/>
    <w:tmpl w:val="0DA80585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545D7A"/>
    <w:multiLevelType w:val="multilevel"/>
    <w:tmpl w:val="21545D7A"/>
    <w:lvl w:ilvl="0" w:tentative="0">
      <w:start w:val="1"/>
      <w:numFmt w:val="bullet"/>
      <w:lvlText w:val="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AB0F21"/>
    <w:multiLevelType w:val="multilevel"/>
    <w:tmpl w:val="23AB0F2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242F0E"/>
    <w:multiLevelType w:val="multilevel"/>
    <w:tmpl w:val="2C242F0E"/>
    <w:lvl w:ilvl="0" w:tentative="0">
      <w:start w:val="1"/>
      <w:numFmt w:val="bullet"/>
      <w:lvlText w:val="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3063CC5"/>
    <w:multiLevelType w:val="multilevel"/>
    <w:tmpl w:val="33063CC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9814712"/>
    <w:multiLevelType w:val="multilevel"/>
    <w:tmpl w:val="39814712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1451E8"/>
    <w:multiLevelType w:val="singleLevel"/>
    <w:tmpl w:val="3F1451E8"/>
    <w:lvl w:ilvl="0" w:tentative="0">
      <w:start w:val="6"/>
      <w:numFmt w:val="decimal"/>
      <w:suff w:val="space"/>
      <w:lvlText w:val="第%1章"/>
      <w:lvlJc w:val="left"/>
    </w:lvl>
  </w:abstractNum>
  <w:abstractNum w:abstractNumId="9">
    <w:nsid w:val="5F86633D"/>
    <w:multiLevelType w:val="multilevel"/>
    <w:tmpl w:val="5F86633D"/>
    <w:lvl w:ilvl="0" w:tentative="0">
      <w:start w:val="9"/>
      <w:numFmt w:val="bullet"/>
      <w:lvlText w:val="-"/>
      <w:lvlJc w:val="left"/>
      <w:pPr>
        <w:ind w:left="720" w:hanging="360"/>
      </w:pPr>
      <w:rPr>
        <w:rFonts w:hint="default" w:ascii="Helvetica" w:hAnsi="Helvetica" w:eastAsia="Times New Roman" w:cs="Helvetica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A018AF"/>
    <w:rsid w:val="0A8E185D"/>
    <w:rsid w:val="183C7EEC"/>
    <w:rsid w:val="26A018AF"/>
    <w:rsid w:val="3B9751DC"/>
    <w:rsid w:val="43965AAB"/>
    <w:rsid w:val="51C40455"/>
    <w:rsid w:val="59C44B7A"/>
    <w:rsid w:val="620767AC"/>
    <w:rsid w:val="697E3CC1"/>
    <w:rsid w:val="70C2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240" w:lineRule="auto"/>
      <w:ind w:firstLine="0" w:firstLineChars="0"/>
      <w:jc w:val="center"/>
      <w:outlineLvl w:val="0"/>
    </w:pPr>
    <w:rPr>
      <w:rFonts w:ascii="Times New Roman" w:hAnsi="Times New Roman" w:eastAsia="宋体" w:cs="Times New Roman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ind w:firstLine="0" w:firstLineChars="0"/>
      <w:jc w:val="center"/>
      <w:outlineLvl w:val="1"/>
    </w:pPr>
    <w:rPr>
      <w:rFonts w:ascii="Times New Roman" w:hAnsi="Times New Roman" w:eastAsia="宋体" w:cs="Times New Roman"/>
      <w:b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ind w:firstLine="0" w:firstLineChars="0"/>
      <w:jc w:val="left"/>
      <w:outlineLvl w:val="2"/>
    </w:pPr>
    <w:rPr>
      <w:rFonts w:ascii="Times New Roman" w:hAnsi="Times New Roman" w:eastAsia="宋体" w:cs="Times New Roman"/>
      <w:b/>
      <w:sz w:val="30"/>
      <w:szCs w:val="2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uiPriority w:val="39"/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 w:eastAsiaTheme="minorEastAsia"/>
      <w:sz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uiPriority w:val="0"/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s1"/>
    <w:basedOn w:val="10"/>
    <w:qFormat/>
    <w:uiPriority w:val="0"/>
  </w:style>
  <w:style w:type="paragraph" w:customStyle="1" w:styleId="14">
    <w:name w:val="表格"/>
    <w:basedOn w:val="1"/>
    <w:qFormat/>
    <w:uiPriority w:val="0"/>
    <w:pPr>
      <w:spacing w:line="360" w:lineRule="exact"/>
      <w:jc w:val="center"/>
    </w:pPr>
    <w:rPr>
      <w:szCs w:val="21"/>
    </w:rPr>
  </w:style>
  <w:style w:type="character" w:customStyle="1" w:styleId="15">
    <w:name w:val="NormalCharacter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列出段落1"/>
    <w:basedOn w:val="1"/>
    <w:qFormat/>
    <w:uiPriority w:val="34"/>
    <w:pPr>
      <w:widowControl/>
      <w:spacing w:after="160" w:line="259" w:lineRule="auto"/>
      <w:ind w:left="720"/>
      <w:contextualSpacing/>
      <w:jc w:val="left"/>
    </w:pPr>
    <w:rPr>
      <w:rFonts w:asciiTheme="minorHAnsi" w:hAnsiTheme="minorHAnsi" w:eastAsiaTheme="minorEastAsia" w:cstheme="minorBidi"/>
      <w:kern w:val="0"/>
      <w:sz w:val="22"/>
      <w:szCs w:val="22"/>
      <w:lang w:val="nb-N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2020-07-19T08:13:00Z</dcterms:created>
  <dc:creator>高泽宇</dc:creator>
  <cp:lastModifiedBy>高泽宇</cp:lastModifiedBy>
  <dcterms:modified xsi:type="dcterms:W3CDTF">2020-07-20T01:27:48Z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