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81" w:tblpY="421"/>
        <w:tblOverlap w:val="never"/>
        <w:tblW w:w="16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15"/>
        <w:gridCol w:w="1687"/>
        <w:gridCol w:w="1751"/>
        <w:gridCol w:w="1521"/>
        <w:gridCol w:w="1550"/>
        <w:gridCol w:w="2536"/>
        <w:gridCol w:w="2655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</w:tcPr>
          <w:p>
            <w:pPr/>
            <w:r>
              <w:rPr>
                <w:rFonts w:hint="eastAsia"/>
              </w:rPr>
              <w:t>周次</w:t>
            </w:r>
          </w:p>
        </w:tc>
        <w:tc>
          <w:tcPr>
            <w:tcW w:w="1915" w:type="dxa"/>
          </w:tcPr>
          <w:p>
            <w:pPr/>
            <w:r>
              <w:rPr>
                <w:rFonts w:hint="eastAsia"/>
              </w:rPr>
              <w:t>星期一</w:t>
            </w:r>
          </w:p>
        </w:tc>
        <w:tc>
          <w:tcPr>
            <w:tcW w:w="1687" w:type="dxa"/>
          </w:tcPr>
          <w:p>
            <w:pPr/>
            <w:r>
              <w:rPr>
                <w:rFonts w:hint="eastAsia"/>
              </w:rPr>
              <w:t>星期二</w:t>
            </w:r>
          </w:p>
        </w:tc>
        <w:tc>
          <w:tcPr>
            <w:tcW w:w="1751" w:type="dxa"/>
          </w:tcPr>
          <w:p>
            <w:pPr/>
            <w:r>
              <w:rPr>
                <w:rFonts w:hint="eastAsia"/>
              </w:rPr>
              <w:t>星期三</w:t>
            </w:r>
          </w:p>
        </w:tc>
        <w:tc>
          <w:tcPr>
            <w:tcW w:w="1521" w:type="dxa"/>
          </w:tcPr>
          <w:p>
            <w:pPr/>
            <w:r>
              <w:rPr>
                <w:rFonts w:hint="eastAsia"/>
              </w:rPr>
              <w:t>星期四</w:t>
            </w:r>
          </w:p>
        </w:tc>
        <w:tc>
          <w:tcPr>
            <w:tcW w:w="1550" w:type="dxa"/>
          </w:tcPr>
          <w:p>
            <w:pPr/>
            <w:r>
              <w:rPr>
                <w:rFonts w:hint="eastAsia"/>
              </w:rPr>
              <w:t>星期五</w:t>
            </w:r>
          </w:p>
        </w:tc>
        <w:tc>
          <w:tcPr>
            <w:tcW w:w="2536" w:type="dxa"/>
          </w:tcPr>
          <w:p>
            <w:pPr/>
            <w:r>
              <w:rPr>
                <w:rFonts w:hint="eastAsia"/>
              </w:rPr>
              <w:t>星期六</w:t>
            </w:r>
          </w:p>
        </w:tc>
        <w:tc>
          <w:tcPr>
            <w:tcW w:w="2655" w:type="dxa"/>
          </w:tcPr>
          <w:p>
            <w:pPr/>
            <w:r>
              <w:rPr>
                <w:rFonts w:hint="eastAsia"/>
              </w:rPr>
              <w:t>星期日</w:t>
            </w:r>
          </w:p>
        </w:tc>
        <w:tc>
          <w:tcPr>
            <w:tcW w:w="1543" w:type="dxa"/>
          </w:tcPr>
          <w:p>
            <w:pPr/>
            <w:r>
              <w:t>周末日期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color w:val="ED7D31" w:themeColor="accent2"/>
                <w:sz w:val="20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1550" w:type="dxa"/>
          </w:tcPr>
          <w:p>
            <w:pPr>
              <w:rPr>
                <w:color w:val="ED7D31" w:themeColor="accent2"/>
                <w:sz w:val="20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536" w:type="dxa"/>
          </w:tcPr>
          <w:p>
            <w:pPr>
              <w:rPr>
                <w:color w:val="ED7D31" w:themeColor="accent2"/>
                <w:sz w:val="20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2655" w:type="dxa"/>
          </w:tcPr>
          <w:p>
            <w:pPr>
              <w:rPr>
                <w:color w:val="ED7D31" w:themeColor="accent2"/>
                <w:sz w:val="20"/>
                <w:szCs w:val="22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03.06-03.07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restart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2</w:t>
            </w:r>
          </w:p>
        </w:tc>
        <w:tc>
          <w:tcPr>
            <w:tcW w:w="1915" w:type="dxa"/>
            <w:vMerge w:val="restar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政法管理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Merge w:val="restart"/>
            <w:vAlign w:val="top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</w:p>
        </w:tc>
        <w:tc>
          <w:tcPr>
            <w:tcW w:w="1751" w:type="dxa"/>
            <w:vMerge w:val="restart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公务员制度专题</w:t>
            </w:r>
          </w:p>
        </w:tc>
        <w:tc>
          <w:tcPr>
            <w:tcW w:w="1521" w:type="dxa"/>
            <w:vMerge w:val="restart"/>
            <w:vAlign w:val="top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社会保障学</w:t>
            </w:r>
          </w:p>
        </w:tc>
        <w:tc>
          <w:tcPr>
            <w:tcW w:w="1550" w:type="dxa"/>
            <w:vMerge w:val="restart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lang w:val="en-US" w:eastAsia="zh-CN" w:bidi="ar-SA"/>
              </w:rPr>
              <w:t>公共经济学</w:t>
            </w:r>
          </w:p>
        </w:tc>
        <w:tc>
          <w:tcPr>
            <w:tcW w:w="2536" w:type="dxa"/>
            <w:vAlign w:val="top"/>
          </w:tcPr>
          <w:p>
            <w:pPr>
              <w:rPr>
                <w:rFonts w:hint="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03.13-03.14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continue"/>
          </w:tcPr>
          <w:p>
            <w:pPr/>
          </w:p>
        </w:tc>
        <w:tc>
          <w:tcPr>
            <w:tcW w:w="1915" w:type="dxa"/>
            <w:vMerge w:val="continue"/>
          </w:tcPr>
          <w:p>
            <w:pPr/>
          </w:p>
        </w:tc>
        <w:tc>
          <w:tcPr>
            <w:tcW w:w="1687" w:type="dxa"/>
            <w:vMerge w:val="continue"/>
          </w:tcPr>
          <w:p>
            <w:pPr/>
          </w:p>
        </w:tc>
        <w:tc>
          <w:tcPr>
            <w:tcW w:w="1751" w:type="dxa"/>
            <w:vMerge w:val="continue"/>
          </w:tcPr>
          <w:p>
            <w:pPr/>
          </w:p>
        </w:tc>
        <w:tc>
          <w:tcPr>
            <w:tcW w:w="1521" w:type="dxa"/>
            <w:vMerge w:val="continue"/>
          </w:tcPr>
          <w:p>
            <w:pPr/>
          </w:p>
        </w:tc>
        <w:tc>
          <w:tcPr>
            <w:tcW w:w="1550" w:type="dxa"/>
            <w:vMerge w:val="continue"/>
          </w:tcPr>
          <w:p>
            <w:pPr/>
          </w:p>
        </w:tc>
        <w:tc>
          <w:tcPr>
            <w:tcW w:w="2536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比较政治学案例分析专题</w:t>
            </w:r>
          </w:p>
        </w:tc>
        <w:tc>
          <w:tcPr>
            <w:tcW w:w="265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比较政治学案例分析专题</w:t>
            </w:r>
          </w:p>
        </w:tc>
        <w:tc>
          <w:tcPr>
            <w:tcW w:w="1543" w:type="dxa"/>
            <w:vMerge w:val="continue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restart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3</w:t>
            </w:r>
          </w:p>
        </w:tc>
        <w:tc>
          <w:tcPr>
            <w:tcW w:w="1915" w:type="dxa"/>
            <w:vMerge w:val="restart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政法管理</w:t>
            </w:r>
          </w:p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Merge w:val="restart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  <w:vMerge w:val="restart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公务员制度专题</w:t>
            </w:r>
          </w:p>
        </w:tc>
        <w:tc>
          <w:tcPr>
            <w:tcW w:w="1521" w:type="dxa"/>
            <w:vMerge w:val="restart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社会保障学</w:t>
            </w:r>
          </w:p>
        </w:tc>
        <w:tc>
          <w:tcPr>
            <w:tcW w:w="1550" w:type="dxa"/>
            <w:vMerge w:val="restart"/>
            <w:vAlign w:val="top"/>
          </w:tcPr>
          <w:p>
            <w:pPr>
              <w:rPr>
                <w:rFonts w:hint="eastAsia"/>
                <w:sz w:val="20"/>
                <w:szCs w:val="22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lang w:val="en-US" w:eastAsia="zh-CN" w:bidi="ar-SA"/>
              </w:rPr>
              <w:t>公共经济学</w:t>
            </w:r>
          </w:p>
        </w:tc>
        <w:tc>
          <w:tcPr>
            <w:tcW w:w="253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03.20-03.21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continue"/>
          </w:tcPr>
          <w:p>
            <w:pPr/>
          </w:p>
        </w:tc>
        <w:tc>
          <w:tcPr>
            <w:tcW w:w="1915" w:type="dxa"/>
            <w:vMerge w:val="continue"/>
          </w:tcPr>
          <w:p>
            <w:pPr/>
          </w:p>
        </w:tc>
        <w:tc>
          <w:tcPr>
            <w:tcW w:w="1687" w:type="dxa"/>
            <w:vMerge w:val="continue"/>
          </w:tcPr>
          <w:p>
            <w:pPr/>
          </w:p>
        </w:tc>
        <w:tc>
          <w:tcPr>
            <w:tcW w:w="1751" w:type="dxa"/>
            <w:vMerge w:val="continue"/>
          </w:tcPr>
          <w:p>
            <w:pPr/>
          </w:p>
        </w:tc>
        <w:tc>
          <w:tcPr>
            <w:tcW w:w="1521" w:type="dxa"/>
            <w:vMerge w:val="continue"/>
          </w:tcPr>
          <w:p>
            <w:pPr/>
          </w:p>
        </w:tc>
        <w:tc>
          <w:tcPr>
            <w:tcW w:w="1550" w:type="dxa"/>
            <w:vMerge w:val="continue"/>
          </w:tcPr>
          <w:p>
            <w:pPr/>
          </w:p>
        </w:tc>
        <w:tc>
          <w:tcPr>
            <w:tcW w:w="2536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比较政治学案例分析专题</w:t>
            </w:r>
          </w:p>
        </w:tc>
        <w:tc>
          <w:tcPr>
            <w:tcW w:w="265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比较政治学案例分析专题</w:t>
            </w:r>
          </w:p>
        </w:tc>
        <w:tc>
          <w:tcPr>
            <w:tcW w:w="1543" w:type="dxa"/>
            <w:vMerge w:val="continue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4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政法管理</w:t>
            </w:r>
          </w:p>
        </w:tc>
        <w:tc>
          <w:tcPr>
            <w:tcW w:w="1687" w:type="dxa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公务员制度专题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社会保障学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lang w:val="en-US" w:eastAsia="zh-CN" w:bidi="ar-SA"/>
              </w:rPr>
              <w:t>公共经济学</w:t>
            </w:r>
          </w:p>
        </w:tc>
        <w:tc>
          <w:tcPr>
            <w:tcW w:w="253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公共政策分析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03.27-03.28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5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政法管理</w:t>
            </w:r>
          </w:p>
        </w:tc>
        <w:tc>
          <w:tcPr>
            <w:tcW w:w="1687" w:type="dxa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公务员制度专题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社会保障学</w:t>
            </w:r>
          </w:p>
        </w:tc>
        <w:tc>
          <w:tcPr>
            <w:tcW w:w="1550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 w:cstheme="minorBidi"/>
                <w:kern w:val="2"/>
                <w:sz w:val="20"/>
                <w:szCs w:val="22"/>
                <w:lang w:val="en-US" w:eastAsia="zh-CN" w:bidi="ar-SA"/>
              </w:rPr>
              <w:t>公共经济学</w:t>
            </w: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color w:val="C00000"/>
                <w:sz w:val="20"/>
                <w:szCs w:val="22"/>
                <w:lang w:eastAsia="zh-CN"/>
              </w:rPr>
              <w:t>清明节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04.03-04.04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6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公共行政原理</w:t>
            </w:r>
          </w:p>
        </w:tc>
        <w:tc>
          <w:tcPr>
            <w:tcW w:w="265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公共行政原理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04.10-04.11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7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公共行政原理</w:t>
            </w:r>
          </w:p>
        </w:tc>
        <w:tc>
          <w:tcPr>
            <w:tcW w:w="2655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公共行政原理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04.17-04.18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8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04.24-04.25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9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05.01-05.02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10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265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公共管理应用英语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05.08-05.09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restart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11</w:t>
            </w:r>
          </w:p>
        </w:tc>
        <w:tc>
          <w:tcPr>
            <w:tcW w:w="1915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行政法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行政法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05.15-05.16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continue"/>
          </w:tcPr>
          <w:p>
            <w:pPr/>
          </w:p>
        </w:tc>
        <w:tc>
          <w:tcPr>
            <w:tcW w:w="1915" w:type="dxa"/>
            <w:vMerge w:val="continue"/>
          </w:tcPr>
          <w:p>
            <w:pPr/>
          </w:p>
        </w:tc>
        <w:tc>
          <w:tcPr>
            <w:tcW w:w="1687" w:type="dxa"/>
            <w:vMerge w:val="continue"/>
          </w:tcPr>
          <w:p>
            <w:pPr/>
          </w:p>
        </w:tc>
        <w:tc>
          <w:tcPr>
            <w:tcW w:w="1751" w:type="dxa"/>
            <w:vMerge w:val="continue"/>
          </w:tcPr>
          <w:p>
            <w:pPr/>
          </w:p>
        </w:tc>
        <w:tc>
          <w:tcPr>
            <w:tcW w:w="1521" w:type="dxa"/>
            <w:vMerge w:val="continue"/>
          </w:tcPr>
          <w:p>
            <w:pPr/>
          </w:p>
        </w:tc>
        <w:tc>
          <w:tcPr>
            <w:tcW w:w="1550" w:type="dxa"/>
            <w:vMerge w:val="continue"/>
          </w:tcPr>
          <w:p>
            <w:pPr/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领导的艺术与实践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领导的艺术与实践</w:t>
            </w:r>
          </w:p>
        </w:tc>
        <w:tc>
          <w:tcPr>
            <w:tcW w:w="1543" w:type="dxa"/>
            <w:vMerge w:val="continue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0" w:type="dxa"/>
            <w:vMerge w:val="restart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12</w:t>
            </w:r>
          </w:p>
        </w:tc>
        <w:tc>
          <w:tcPr>
            <w:tcW w:w="1915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  <w:vMerge w:val="restart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行政法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行政法</w:t>
            </w:r>
          </w:p>
        </w:tc>
        <w:tc>
          <w:tcPr>
            <w:tcW w:w="1543" w:type="dxa"/>
            <w:vMerge w:val="restart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05.22-05.23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vMerge w:val="continue"/>
          </w:tcPr>
          <w:p>
            <w:pPr/>
          </w:p>
        </w:tc>
        <w:tc>
          <w:tcPr>
            <w:tcW w:w="1915" w:type="dxa"/>
            <w:vMerge w:val="continue"/>
          </w:tcPr>
          <w:p>
            <w:pPr/>
          </w:p>
        </w:tc>
        <w:tc>
          <w:tcPr>
            <w:tcW w:w="1687" w:type="dxa"/>
            <w:vMerge w:val="continue"/>
          </w:tcPr>
          <w:p>
            <w:pPr/>
          </w:p>
        </w:tc>
        <w:tc>
          <w:tcPr>
            <w:tcW w:w="1751" w:type="dxa"/>
            <w:vMerge w:val="continue"/>
          </w:tcPr>
          <w:p>
            <w:pPr/>
          </w:p>
        </w:tc>
        <w:tc>
          <w:tcPr>
            <w:tcW w:w="1521" w:type="dxa"/>
            <w:vMerge w:val="continue"/>
          </w:tcPr>
          <w:p>
            <w:pPr/>
          </w:p>
        </w:tc>
        <w:tc>
          <w:tcPr>
            <w:tcW w:w="1550" w:type="dxa"/>
            <w:vMerge w:val="continue"/>
          </w:tcPr>
          <w:p>
            <w:pPr/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领导的艺术与实践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领导的艺术与实践</w:t>
            </w:r>
          </w:p>
        </w:tc>
        <w:tc>
          <w:tcPr>
            <w:tcW w:w="1543" w:type="dxa"/>
            <w:vMerge w:val="continue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13</w:t>
            </w:r>
          </w:p>
        </w:tc>
        <w:tc>
          <w:tcPr>
            <w:tcW w:w="1915" w:type="dxa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751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电子政务专题</w:t>
            </w:r>
          </w:p>
        </w:tc>
        <w:tc>
          <w:tcPr>
            <w:tcW w:w="1521" w:type="dxa"/>
            <w:vAlign w:val="top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人力资源案例研讨专题</w:t>
            </w:r>
          </w:p>
        </w:tc>
        <w:tc>
          <w:tcPr>
            <w:tcW w:w="2536" w:type="dxa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政府法制监督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政府法制监督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05.29-05.30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14</w:t>
            </w:r>
          </w:p>
        </w:tc>
        <w:tc>
          <w:tcPr>
            <w:tcW w:w="1915" w:type="dxa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75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电子政务专题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人力资源案例研讨专题</w:t>
            </w: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政府法制监督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政府法制监督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06.05-06.06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15</w:t>
            </w:r>
          </w:p>
        </w:tc>
        <w:tc>
          <w:tcPr>
            <w:tcW w:w="1915" w:type="dxa"/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751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电子政务专题</w:t>
            </w:r>
          </w:p>
        </w:tc>
        <w:tc>
          <w:tcPr>
            <w:tcW w:w="152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社会研究方法</w:t>
            </w:r>
          </w:p>
        </w:tc>
        <w:tc>
          <w:tcPr>
            <w:tcW w:w="15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人力资源案例研讨专题</w:t>
            </w:r>
          </w:p>
        </w:tc>
        <w:tc>
          <w:tcPr>
            <w:tcW w:w="2536" w:type="dxa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纪检监察学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纪检监察学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06.12-06.13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16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  <w:r>
              <w:rPr>
                <w:color w:val="C00000"/>
                <w:sz w:val="20"/>
                <w:szCs w:val="22"/>
              </w:rPr>
              <w:t>端午节</w:t>
            </w:r>
          </w:p>
        </w:tc>
        <w:tc>
          <w:tcPr>
            <w:tcW w:w="1687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电子政务专题</w:t>
            </w: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sz w:val="20"/>
                <w:szCs w:val="22"/>
              </w:rPr>
              <w:t>人力资源案例研讨专题</w:t>
            </w: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纪检监察学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纪检监察学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06.19-06.20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17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</w:tcPr>
          <w:p>
            <w:pPr>
              <w:rPr>
                <w:rFonts w:hint="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刑法学专题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刑法学专题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06.26-06.27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0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18</w:t>
            </w:r>
          </w:p>
        </w:tc>
        <w:tc>
          <w:tcPr>
            <w:tcW w:w="1915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687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5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21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550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2536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刑法学专题</w:t>
            </w:r>
          </w:p>
        </w:tc>
        <w:tc>
          <w:tcPr>
            <w:tcW w:w="2655" w:type="dxa"/>
          </w:tcPr>
          <w:p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  <w:lang w:eastAsia="zh-CN"/>
              </w:rPr>
              <w:t>刑法学专题</w:t>
            </w:r>
          </w:p>
        </w:tc>
        <w:tc>
          <w:tcPr>
            <w:tcW w:w="1543" w:type="dxa"/>
          </w:tcPr>
          <w:p>
            <w:pPr>
              <w:rPr>
                <w:rFonts w:hint="default" w:eastAsiaTheme="minorEastAsia"/>
                <w:sz w:val="20"/>
                <w:szCs w:val="22"/>
                <w:lang w:eastAsia="zh-CN"/>
              </w:rPr>
            </w:pPr>
            <w:r>
              <w:rPr>
                <w:rFonts w:hint="default"/>
                <w:sz w:val="20"/>
                <w:szCs w:val="22"/>
                <w:lang w:eastAsia="zh-CN"/>
              </w:rPr>
              <w:t>07.03-07.04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2021-01-10T10:42:40Z</dcterms:created>
  <dc:creator>“G_FANCY”的 iPhone</dc:creator>
  <cp:lastModifiedBy>“G_FANCY”的 iPhone</cp:lastModifiedBy>
  <dcterms:modified xsi:type="dcterms:W3CDTF">2021-01-10T10:43:05Z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